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IV.2018.00281 vom 3. Februar 2005</w:t>
      </w:r>
    </w:p>
    <w:p>
      <w:r>
        <w:t>ZH Sozialversicherungsgericht, 2005-02-03, DE</w:t>
      </w:r>
    </w:p>
    <w:p>
      <w:r>
        <w:rPr>
          <w:b/>
        </w:rPr>
        <w:t xml:space="preserve">Quelle: </w:t>
      </w:r>
      <w:r>
        <w:t>https://mcp.opencaselaw.ch/entscheid/zh_sozialversicherungsgericht_IV.2018.00281</w:t>
      </w:r>
    </w:p>
    <w:p>
      <w:r>
        <w:t>FR: ZH_SOZIALVERSICHERUNGSGERICHT IV.2018.00281 du 3 février 2005</w:t>
      </w:r>
    </w:p>
    <w:p>
      <w:r>
        <w:t>IT: ZH_SOZIALVERSICHERUNGSGERICHT IV.2018.00281 del 3 febbraio 2005</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 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 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Sowohl bei der erstmaligen Prüfung des Rentenanspruchs als auch bei der Rentenrevision und im Neuanmeldungsverfahren ist die Methode der Invalidi täts bemessung (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 aufgaben gegenüber Kindern, das Alter, die beruflichen Fähigkeiten und die Ausbildung sowie die persönlichen Neigungen und Begabungen zu berück sichtigen. Massgebend sind die Ver hältnisse, wie sie sich bis zum Erlass der Verwaltungsverfügung entwickelt haben, wobei für die hypothetische Annahme einer im Gesundheitsfall ausgeübten (Teil )Erwerbstätigkeit der im Sozialver 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2. 2.1</w:t>
      </w:r>
    </w:p>
    <w:p>
      <w:r>
        <w:t>Die Beschwerdegegnerin begründete die angefochtene Verfügung damit, dass die Beschwerdeführerin in einer einfachen, leichten bis mittelschweren Tätigkeit zu 100 %</w:t>
      </w:r>
    </w:p>
    <w:p>
      <w:r>
        <w:t>arbeitsfähig sei, wobei sich das Pensum aufgrund eines erhöhten Pausen bedarfs auf 80 % reduziere. Bezüglich der Statusfrage sei die Beschwerdeführerin als voll erwerbstätig zu qualifizieren, was insgesamt zu einem Invaliditätsgrad von 20 % führe ( Urk. 2). 2.2</w:t>
      </w:r>
    </w:p>
    <w:p>
      <w:r>
        <w:t>Demgegenüber machte die Vertreterin der Beschwerdeführerin im Wesentlichen geltend, dass im Rahmen der letztmaligen Invaliditätsbemessung ein leidens be dingter Abzug in der Höhe von 25 % gewährt worden sei, wobei es unverständ lich sei, weshalb nun kein Abzug mehr vorgenommen werde. Der Entscheid der Beschwerdegegnerin bezüglich eines Abzugs von 25 % sei rechts kräftig und es bestehe keine Veranlassung den Sachverhalt nun neu zu beurteilen, was zu einem IV-Grad von 40 % führe ( Urk. 1 S. 7 f.). Aus heutiger Sicht sei zudem die damalige Umqualifikation und somit die Anwendung der gemischten Methode diskrimi nierend. Ohne eine solche bestünde ein Anspruch auf eine Viertelsrente ; so habe auch das Sozialversicherungsgericht den gemachten Abzug von 25 % als wohl wollend akzeptiert (S. 8). 2.3</w:t>
      </w:r>
    </w:p>
    <w:p>
      <w:r>
        <w:t>Vergleichsbasis im vorliegenden Neuanmeldeverfahren bildet die Verfügung vom</w:t>
      </w:r>
    </w:p>
    <w:p>
      <w:r>
        <w:t>4. September 200 9. Die Beschwerdegegnerin ging dannzumal gestützt auf die Haushaltabklärung vom 27. November 2008 davon aus, dass die Beschwerde führerin im Gesundheitsfall zu 55 % einer erwerblichen Tätigkeit nachginge und zu 45 % im Haushalt tätig wäre. In medizinischer Hinsicht stützte sich die genannte Verfügung auf das A.___ -Gutachten vom 1 3. August 200 8. Die da für verantwortlichen Fachärzte stellten mit Einfluss auf die Arbeitsfähigkeit die fol genden Diagnosen (Urk. 7/57 S. 21): 1.</w:t>
      </w:r>
    </w:p>
    <w:p>
      <w:r>
        <w:t>Chronisches rechtsbetontes zervikozephales Schmerzsyndrom (ICD-10: M53.0) sowie chronisches Zervikobrachialsyndrom (ICD-10: M53.1) bei/mit -</w:t>
      </w:r>
    </w:p>
    <w:p>
      <w:r>
        <w:t>Status nach kraniozervikalem Beschleunigungstrauma mit anamnestisch Aufprallmechanismus und Zuzug einer Halswirbelsäulen-Distorsion so wie Commotio cerebri im Rahmen eines Autounfalls (Auffahrkollision) am 2. Oktober 2003 -</w:t>
      </w:r>
    </w:p>
    <w:p>
      <w:r>
        <w:t>keine Hinweise auf radikuläres Reiz- oder sensomotorisches Ausfallsyn drom 2.</w:t>
      </w:r>
    </w:p>
    <w:p>
      <w:r>
        <w:t>Verdacht auf medikamentös induzierte Kopfschmerzen</w:t>
      </w:r>
    </w:p>
    <w:p>
      <w:r>
        <w:t>-</w:t>
      </w:r>
    </w:p>
    <w:p>
      <w:r>
        <w:t>durch Triptan - und Tramadol-Übergebrauch (ICD-10: G44.41) 3.</w:t>
      </w:r>
    </w:p>
    <w:p>
      <w:r>
        <w:t>Leicht- bis mittelgradig ausgeprägte depressive Störung mit somatischen Symptomen (ICD-10: F32.01/11)</w:t>
      </w:r>
    </w:p>
    <w:p>
      <w:r>
        <w:t>Sowohl als Hausfrau als auch in einer ausserhäusliche n körperlich leichte n bis mittelschwere n Tätigkeit bestehe eine Arbeitsfähigkeit von 80 % (S. 24).</w:t>
      </w:r>
    </w:p>
    <w:p>
      <w:r>
        <w:t>Anlässlich der Haushaltabklärung vom 27. November 2008 stellte die Abklä rungsperson der IV Stelle fest, dass i m Haushaltbereich von einer Einschränkung von 19.2 % auszugehen sei (Urk. 7 /7 2 S. 4 ff.). Im erwerblichen Bereich sei auf grund des leidensbedingten Abzugs von 25 % von einer Einschränkung in diesem Umfang auszugehen, was zu einer Teilinvalidität von 14 % führe; unter Berück sichtigung der Invalidität im Bereich Haushalt in der Höhe von 9 % ergebe sich ein rentenausschliessender Invaliditätsgrad von 23 % ( Urk. 7/75). 3. 3.1</w:t>
      </w:r>
    </w:p>
    <w:p>
      <w:r>
        <w:t>Die für das B.___ -Gutachten vom 5. September 2017 verantwortlichen Fach ärzte stellten mit Auswirkung auf die Arbeitsfähigkeit die folgenden Diagnosen ( Urk. 7/131 S. 61): - Cervikalsyndrom mit Cervikobrachialgie recht s mit Angabe einer leicht verminderten Berührungsempfindlichkeit im Bereich des rechten volaren Daumens, Mittelfingers, der radialsseitigen</w:t>
      </w:r>
    </w:p>
    <w:p>
      <w:r>
        <w:t>Vola und volarseitigen Vor der arms unklarer Ätiologie - HWS -MRI 01/2011: leichte Bandscheibenprotrusion C5/6 mediolateral rechts ohne sichere Nervenwurzelkompression - Status nach HWS-Distorsion am 2. Oktober 2003 - Lumbovertebralsyndrom mit rechtsseitiger Ischialgie mit leicht vermin derter Schmerzempfindung im Bereich des rechten lateralen, ventralen und medialen Ober- und Unterschenkels sowie des rechten Fussrückens unklarer Ätiologie - MRI-LWS vom 6. November 2015: im Verlauf leicht regrediente medi ane Diskusprotrusion L4/5 mit rezessalem Konta kt zu beiden Nerven wurzeln L5, k eine Nervenwurzelkompression - Begleitende Ansatztendinose am medialen Beckenkamm (SIPS) , rechts &gt; link s - Unsystematisches Schwindelgefühl seit ca. 2 Jahren unklarer Ätiologie - Medial betonte Gonarthrose und Femoropatellararthrose rechts Ohne Auswirkungen auf die Arbeitsfähigkeit sei von den folgenden Diagnosen auszugehen (S. 62): - Migräne - Panikstörung (ICD-10 F41.0) - Status nach depressiver Episode (ICD-10 F32.4) - Klinische Zeichen einer Schmerzfehlverarbeitung mit variablen Bewe gungs ausmassen im Bereich der Wirbelsäule und der per i pheren Gelenke im Vergleich zwischen klinischer Untersuchung und Spontanbewegungen sowie sogenannter Hemifibromyalgie rechts mit zusätzlich 3/3 positiven Kontrollpunk t en und 3/5 positive n</w:t>
      </w:r>
    </w:p>
    <w:p>
      <w:r>
        <w:t>Waddell -Zeichen, nicht einem rheu ma tologischen Krankheitsbild entsprechend - Spreizfüsse</w:t>
      </w:r>
    </w:p>
    <w:p>
      <w:r>
        <w:t>Einfache und intermittierend mittelschwere körperliche Tätigkeiten seien der Beschwerdeführerin ganztags zuzumuten. Dabei sei von einem erhöhten Pausen bedarf auszugehen, was zu einer Arbeitsfähigkeit von 80 % führe (S. 67). Diese Beurteilung weise keinen Unterschied auf zu den Angaben im rheuma tologischen Vorgutachten aus dem Jahr 2008, obwohl u nterdessen zusätzliche Diagnosen auf getreten seien (Kniebeschwerden, S. 65). 3.2</w:t>
      </w:r>
    </w:p>
    <w:p>
      <w:r>
        <w:t>Die für das B.___ -Gutachten vom 5. September 2017 verantwortlichen Fach ärzte legen den medizinischen Sachverhalt in einer schlüssigen und nach voll ziehbaren Weise dar, unter Berücksichtigung der Ergebnisse des A.___ Gut achtens vom 1 3. August 2008, welches im Rahmen der erfolgten Rentenauf hebung massgebend war. Die Ergebnisse der Begutachtung wurden denn auch von der Vertreterin der Beschwerdeführerin nicht fundiert in Zweifel gezogen. Damit ist gegenüber der Einschätzung im Zeitpunkt der Referenzverfügung vom 4. Sep tember 2009 von einem weitgehend unveränderte n Gesundheitszustand auszuge hen, zumindest was die Einschränkung in der Arbeitsfähigkeit betrifft. Die neu aufgetretenen Knie - und LWS-B eschwerden wirken sich dabei nur insofern auf die Arbeitsfähigkeit aus , als diese im Rahmen des Anforderungs profils zu berück sichtigen sind. Hinzuweisen ist dabei allerdings darauf, dass die Beschwerde führerin bereits gestützt auf das Gutachten vom 13.</w:t>
      </w:r>
    </w:p>
    <w:p>
      <w:r>
        <w:t>August 2008 auf eine leichte bis mittelschwere Tätigkeit angewiesen war. Aus medizinischer Sicht kann dem nach das Vorliegen eines Revisionsgrundes verneint werden. 4. 4.1</w:t>
      </w:r>
    </w:p>
    <w:p>
      <w:r>
        <w:t>Hinsichtlich der Statusfrage führte die Beschwerdegegnerin aus, dass sie aufgrund der Tatsache, dass das jüngste Kind nun 16-jährig und die Beschwerdeführerin Sozialhilfebezügerin sei, davon ausgehen würden, dass diese zu 100 % einer erwerblichen Tätigkeit nachgehen würde ( Urk. 7/132). Diese Einschätzung wurde von der Vertreterin der Beschwerdeführerin nicht in Frage gestellt und ist nicht zu beanstanden.</w:t>
      </w:r>
    </w:p>
    <w:p>
      <w:r>
        <w:t>Diese Änderung in der Methodenwahl von der gemischten Methode zu einem reinen Einkommensvergleich stellt einen Revisionsgrund dar, sodass der Renten anspruch in rechtlicher und tatsächlicher Hinsicht umfassend («allseitig») zu prüfen ist. Vor diesem Hintergrund ist der im Rahmen der Rentenaufhebung gewährte leidensbedingte Abzug in der Höhe von 25 % nicht mehr beachtlich. Entsprechend den Ausführungen im Urteil des hiesigen Gerichts vom 3 1. Mai 2011 ist dabei sowohl das Validen- als auch das Invalideneinkommen anhand der statistischen Daten der Schweizerischen Lohnstrukturerhebung zu ermitteln, sodass rechnerisch ein Prozentvergleich erfolgen kann (vgl. Urk. 7/86 S. 18 f., vgl. auch Urk. 1 S. 8 oben). Zu prüfen bleibt dabei die Höhe des leidensbedingten Abzugs.</w:t>
      </w:r>
    </w:p>
    <w:p>
      <w:r>
        <w:t>Die von der Beschwerdegegnerin vertretene Auffassung, dass neben dem erhöhten Pausenbedarf kein leidensbedingter Abzug vorzunehmen ist, ist dabei nicht zu beanstanden. So ist darauf hinzuweisen, dass d ie gesundheitlich bedingte Unmöglichkeit, weiterhin körperlich schwere Arbeit zu verrichten, nicht auto ma tisch zu einer V erminderung des hypothetischen Invalidenlohns</w:t>
      </w:r>
    </w:p>
    <w:p>
      <w:r>
        <w:t>führt . Viel mehr ist der Umstand allein, dass nur mehr leichte bis mittelschwere Arbeiten zumutbar sind, auch bei eingeschränkter Leistungsfähigkeit kein Grund für einen zusätzli chen leidensbedingten Abzug, weil der Tabellenlohn im Kompetenz niveau</w:t>
      </w:r>
    </w:p>
    <w:p>
      <w:r>
        <w:t>1 (bis LSE 2010 Anforderungsniveau 4) bereits eine Vielzahl von leichten und mittel schweren Tätigkeiten umfasst (Urteil des Bundesgerichts 8C_805/2016 vom 22. März 2017 E. 3.4.2 unter Hinweis auf 9C_455/2013 vom 4. Oktober 2013 E. 4.4 und 9C_386/2012 vom 18. September 2012 E. 5.2).</w:t>
      </w:r>
    </w:p>
    <w:p>
      <w:r>
        <w:t>Das Angewiesensein auf das Entgegenkommen eines verständnisvollen Arbeitgebers stellt praxis ge mäss ebenfalls kein anerkanntes eigenständiges Abzugskriterium dar (vgl.</w:t>
      </w:r>
    </w:p>
    <w:p>
      <w:r>
        <w:t>Urteil e des Bundes gerichts 8C_176/ 2012 vom 3. September 2012 E. 8</w:t>
      </w:r>
    </w:p>
    <w:p>
      <w:r>
        <w:t>und 8C_91/2013 vom 2 2. August 2013 E. 3.3.4).</w:t>
      </w:r>
    </w:p>
    <w:p>
      <w:r>
        <w:t>Insgesamt führt dies entsprechend der Einschätzung der Beschwerdegegnerin zu einem Invaliditätsgrad von 80 % . 4. 2</w:t>
      </w:r>
    </w:p>
    <w:p>
      <w:r>
        <w:t>Zusammenfassend ist die Einschätzung der Beschwerdegegnerin nicht zu bean standen, was in Abweisung der Beschwerde zur Bestätigung der angefochtenen Verfügung vom 2 7. Februar 2018 führt. 5.</w:t>
      </w:r>
    </w:p>
    <w:p>
      <w:r>
        <w:t>Da es im vorliegenden Verfahren um die Bewilligung oder Verweigerung von IV Leistungen geht, ist das Verfahren kostenpflichtig. Die Gerichtskosten sind nach dem Verfahrensaufwand und unabhängig vom Streitwert festzulegen (Art. 69 Abs. 1 bis</w:t>
      </w:r>
    </w:p>
    <w:p>
      <w:r>
        <w:t>IVG) und auf Fr. 800.-- anzusetzen. Entsprechend dem Ausgang des Verfahrens sind sie der Beschwerdeführerin aufzuerlegen, infolge Bewilligung der unentgeltlichen Prozessführung jedoch einstweilen auf die Gerichtskasse zu nehmen. Das Gericht beschliesst:</w:t>
      </w:r>
    </w:p>
    <w:p>
      <w:r>
        <w:t>In Bewilligung des Gesuchs vom 2 0. März 2018 wird der Beschwerdeführerin die unentgeltliche Prozessführung gewährt;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5</w:t>
      </w:r>
    </w:p>
    <w:p>
      <w:r>
        <w:t>Septem ber 2017, Urk. 7/131). Mit Vorbescheid vom 2 9. Januar 2018 stellte die IV-Stelle die Abweisung des Leistungsbegehrens in Aussicht (ersetzt Vorbescheid vom 1 0. Oktober 2016, Urk. 7/134) und hielt an diesem Entscheid mit Verfügung vom 2 7. Februar 2018 fest ( Urk. 7/142 = Urk. 2). 2.</w:t>
      </w:r>
    </w:p>
    <w:p>
      <w:r>
        <w:t>Dagegen erhob die Vertreterin der Versicherten am 2 0. März 2018 Beschwerde und beantragte, es sei der Beschwerdeführerin eine Viertelsrente der Invaliden versicherung sowie die unentgeltliche Prozessführung zu gewähren; unter Kostenfolge zu Lasten der Beschwerdegegnerin ( Urk. 1 S. 2).</w:t>
      </w:r>
    </w:p>
    <w:p>
      <w:r>
        <w:t>In ihrer Beschwerdeantwort vom 7. Mai 2018 beantragte die Beschwerdegegnerin die Abweisung der Beschwerde ( Urk. 6), was der Beschwerdeführerin mit Verfü gung vom 9. Mai 2018 zur Kenntnis gebracht wurde ( Urk. 8). Das Gericht zieht in Erwägung: 1.</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