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IV.2018.00277 vom 19. Juni 2019</w:t>
      </w:r>
    </w:p>
    <w:p>
      <w:r>
        <w:t>ZH Sozialversicherungsgericht, 2019-06-19, DE</w:t>
      </w:r>
    </w:p>
    <w:p>
      <w:r>
        <w:rPr>
          <w:b/>
        </w:rPr>
        <w:t xml:space="preserve">Quelle: </w:t>
      </w:r>
      <w:r>
        <w:t>https://mcp.opencaselaw.ch/entscheid/zh_sozialversicherungsgericht_IV.2018.00277</w:t>
      </w:r>
    </w:p>
    <w:p>
      <w:r>
        <w:t>FR: ZH_SOZIALVERSICHERUNGSGERICHT IV.2018.00277 du 19 juin 2019</w:t>
      </w:r>
    </w:p>
    <w:p>
      <w:r>
        <w:t>IT: ZH_SOZIALVERSICHERUNGSGERICHT IV.2018.00277 del 19 giugno 2019</w:t>
      </w:r>
    </w:p>
    <w:p>
      <w:pPr>
        <w:pStyle w:val="Heading2"/>
      </w:pPr>
      <w:r>
        <w:t>Erwägungen</w:t>
      </w:r>
    </w:p>
    <w:p>
      <w:r>
        <w:rPr>
          <w:b/>
        </w:rPr>
        <w:t>E. 1</w:t>
      </w:r>
    </w:p>
    <w:p>
      <w:r>
        <w:t>Die im Jahre 1956 geborene X.___ besuchte in Mazedonien die Grundschule und war nach ihrer Einreise in die Schweiz im Jahre 1990 stets als Hausfrau tätig; sie ist Mutter von vier Kindern (1976-1984; Urk. 7/3 S. 1-4, Urk. 7/6). Im Zusammenhang mit beidseitigen Kniebeschwerden musste sich die Versicherte mehreren operativen Eingriffen unterziehen, zuletzt am 1 6. September 2016 am linken und am 1 6. März 2017 am rechten Knie ( Urk. 7/12); die Anmeldung zum Leistungsbezug bei der Sozialversicherungsanstalt des Kantons Zürich, IV-Stelle, erfolgte am 4. Februar 2017 ( Urk. 7/3 S.</w:t>
      </w:r>
    </w:p>
    <w:p>
      <w:r>
        <w:rPr>
          <w:b/>
        </w:rPr>
        <w:t>E. 1.1</w:t>
      </w:r>
    </w:p>
    <w:p>
      <w:r>
        <w:t>Invalidität ist die voraussichtlich bleibende oder längere Zeit dauernde ganze oder teilweise Erwerbsunfähigkeit (Art. 8 Abs. 1 des Bundesgesetz es über den Allge meinen Teil des Sozialversicherungsrechts [ ATSG ] ) . Sie kann Folge von Geburts gebrechen, Krankheit oder Unfall sein (Art. 4 Abs. 1 des Bundesgesetz es über die Invalidenversicherung [ IVG ] ) . Erwerbsunfähigkeit ist der durch Beein 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mindes tens 40 % arbeitsunfähig ( Art.</w:t>
      </w:r>
    </w:p>
    <w:p>
      <w:r>
        <w:rPr>
          <w:b/>
        </w:rPr>
        <w:t>E. 1.3</w:t>
      </w:r>
    </w:p>
    <w:p>
      <w:r>
        <w:t>Die Arbeitsunfähigkeit im Sinne von Art. 28 Abs. 1 lit . b IVG entspricht der Ein busse an funktionellem Leistungsvermögen im bisherigen Beruf oder Aufgaben bereich (Art. 6 ATSG; BGE 130 V 97 E. 3.2). Bei der Bemessung der Invalidität von im Haushalt tätigen Versicherten ist die Schadenminderungs pflicht von erheblicher Relevanz. Nach der Rechtsprechung ist dabei vom Grundsatz auszu gehen, dass einem Leistungsansprecher im Rahmen der Schadenminderungs pflicht Massnahmen zuzumuten sind, die ein vernünftiger Mensch in der gleichen Lage ergreifen würde, wenn er keinerlei Entschädigung zu erwarten hätte. Für die im Haushalt tätigen Versicherten bedeutet dies, dass sie Verhaltensweisen zu ent wickeln haben, welche die Auswirkungen der Behinderung im hauswirtschaftli 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Geht es um die Mitarbeit von Familienangehörigen, ist danach zu fragen, wie sich eine vernünftige Familien gemeinschaft einrichten würde, wenn keine Versicherungs leistungen zu erwarten wären. Dabei darf nach der Rechtsprechung unter dem Titel der Schadenminde rungspflicht nicht etwa die Bewältigung der Haushalt tätigkeit in einzelnen Funk tionen oder insgesamt auf die übrigen Familien mitglieder überwälzt werden mit der Folge, dass gleichsam bei jeder festgestellten Einschränkung danach gefragt werden müsste, ob sich ein Familienmitglied finden lässt, das allenfalls für eine ersatzweise Ausführung der entsprechenden Teilfunktion in Frage kommt. Schliesslich vermag die Tatsache, dass sich die der Rechtsprechung zugrunde liegenden , in Art. 159 Abs. 2 und 3 ZGB zwischen den Ehegatten und in Art. 272 ZGB zwischen Eltern und Kindern statuierten Beistandspflichten nicht unmittel bar durchsetzen lassen (d.h. weder klagbar noch vollstreckbar sind), sondern nur freiwillig erfüllt werden können, an der Schadenminderungspflicht der im Haus halt beschäftigten Versicherten nichts zu ändern. Denn wie auch im Erwerbsbe reich darauf abzustellen ist, ob die verbleibende Erwerbsfähigkeit auf einem aus geglichenen Arbeitsmarkt grund sätzlich verwertbar ist, unabhängig davon, ob eine solche Anstellung rechtlich durchsetzbar ist, ist auch in Bezug auf den Haushaltbereich davon aus zugehen, was in der sozialen Realität üblich und zumutbar ist, unabhängig davon, ob eine Mithilfe rechtlich durchsetzbar ist (BGE</w:t>
      </w:r>
    </w:p>
    <w:p>
      <w:r>
        <w:t>133 V 504 E. 4.2 mit Hinweisen).</w:t>
      </w:r>
    </w:p>
    <w:p>
      <w:r>
        <w:rPr>
          <w:b/>
        </w:rPr>
        <w:t>E. 1.4</w:t>
      </w:r>
    </w:p>
    <w:p>
      <w:r>
        <w:t>Die von einer qualifizierten Person durchgeführte Abklärung vor Ort (nach Massgabe des Art. 69 Abs. 2 der Verordnung über die Invalidenversicherung [IVV] vgl. auch Rz . 3084 ff. des Kreisschreibens des BSV über Invalidität und Hilflosigkeit in der Invalidenversicherung [KSIH]) stellt für gewöhnlich die geeigne te und genügende Vorkehr zur Bestimmung der gesundheitlichen Einschränkun g im Haushalt dar (Urteil des Bundesgerichts 9C_201/2011 vom 5. September 2011 E. 2, in: SVR 2012 IV Nr. 19 S. 86). Einer ärztlichen Fachper son, die sich zu den einzelnen Positionen der Haushaltführung unter dem Gesichtswinkel der Zumutbarkeit zu äussern hat, bedarf es nur in Aus nahme fällen, namentlich bei unglaubwürdigen Angaben der versicherten Person, die im Widerspruch zu den ärztlichen Befunden stehen (Urteil des Bundesgerichts 8C_817/2013 vom 2 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 sichtigen, wobei divergierende Meinungen der Beteiligten im Bericht aufzuzeigen sind. Der Berichtstext schliesslich muss plausibel, begründet und angemessen detailliert bezüglich der einzelnen Einschränkungen sein und in Überein stimmung mit den an Ort und Stelle erhobenen Angaben stehen. Trifft all dies zu, ist der Abklärungsbericht voll beweiskräftig (AHI 2003 S. 218 E. 2.3.2 [in BGE 129 V 67 nicht veröffentlichte Erwägung]; Urteil des Bundesgerichts I 733/03 vom 6. April 2004 E. 5.1.2; vgl. auch BGE 130 V 61 E. 6.2 und 128 V 93 E. 4 betreffend Abklärungsberichte im Zusammenhang mit der Hauspflege und Hilflo sigkeit). Diese Beweiswürdigungs kriterien sind nicht nur für die im Abklärungs 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 sen ).</w:t>
      </w:r>
    </w:p>
    <w:p>
      <w:r>
        <w:t>Der Abklärungsbericht ist seiner Natur nach in erster Linie auf die Ermittlung des Ausmasses physisch bedingter Beeinträchtigungen zugeschnitten, weshalb seine grundsätzliche Massgeblichkeit unter Umständen Einschränkungen erfahren kann, wenn die versicherte Person an psychischen Beschwerden leidet. Grund sätzlich jedoch stellt er auch dann eine beweistaugliche Grundlage dar, wenn es um die Bemessung einer psychisch bedingten Invalidität geht, das heisst wenn die Beurteilung psychischer Erkrankungen im Vordergrund steht (AHI 2004 S.</w:t>
      </w:r>
    </w:p>
    <w:p>
      <w:r>
        <w:t>137 E. 5.3). Widersprechen sich die Ergebnisse der Abklärung vor Ort und die fachmedizinischen Feststellungen zur Fähigkeit der versicherten Person, ihre gewohnten Aufgaben zu erfüllen, ist aber in der Regel den ärztlichen Stellung nahmen mehr Gewicht einzuräumen als dem Bericht über die Haushaltsabklä rung, weil es der Abklärungsperson regelmässig nur beschränkt möglich ist, das Ausmass des psychischen Leidens und der damit verbundenen Einschränkungen zu erkennen (Urteile des Bundesgerichts 8C_817/2013 vom 28. Mai 2014 E. 5.1, 9C_986/2009 vom 11. November 2010 E. 7.2 und 9C_631/2009 vom 2. Dezember 2009 E. 5.1.2, je mit Hinweisen). 2. 2.1</w:t>
      </w:r>
    </w:p>
    <w:p>
      <w:r>
        <w:t>Die Beschwerdegegnerin begründete die angefochtene Verfügung damit, dass die Beschwerdeführerin auch im Gesundheitsfall keiner Erwerbstätigkeit nachgehen würde. Aufgrund der Abklärungen vor Ort sei dabei von einem rentenaus schliessenden Invaliditätsgrad von 25 % auszugehen ( Urk. 2). 2.2</w:t>
      </w:r>
    </w:p>
    <w:p>
      <w:r>
        <w:t>Demgegenüber machte der Vertreter der Beschwerdeführerin im Wesentlichen geltend, dass vorliegend die Methodenwahl zutreffend sei und allein die Korrekt heit der Haushaltsabklärung bestritten werde . Nach seinen Instruktionen habe die Beschwerdeführerin vor der Erkrankung täglich ihren rund 500 m 2 grossen Garten gepflegt ( Urk. 1 S. 4). Der Bereich Gartenarbeit sei dabei mit durch schnittlich 30 % zu gewichten, was zu Lasten der Bereiche Ernährung, Wohnungspflege und Wäsche gehe. Bei der Schadenminderungspflicht sei zu berücksichtigen, dass der Ehemann der Beschwerdeführerin infolge zweier Herz infarkte eine ganze Rent e beziehe, sodass in den Bereich en Ernährung, Wohnungs pflege, Einkauf und Wäsche von einer Einschränkung von 50 % aus zugehen sei; bei der Gartenarbeit sei eine solche von 100 % ausgewiesen (S. 5 f.). Dies führe zu einem Invaliditätsgrad von 59.5 % , gerundet 60 % . Ginge man im Bereich Garten ebenfalls von einer Einschränkung von 50 % aus, würde dies noch immer zu einem Invaliditätsgrad von 45 % führen ( Urk. 6 unten).</w:t>
      </w:r>
    </w:p>
    <w:p>
      <w:r>
        <w:t>Im Rahmen der Replik präzisierte der Vertreter der Beschwerdeführerin die Angaben betreffend die Grösse des Gartens unter Beilage des Grundbuchauszu ges. Die Gartenanlage sowie der (unbefestigte) Hausumschwung sei en dabei auf 356 m 2 zu beziffern, die Angaben in der Haushaltsabklärung (Sitzplatz, 15</w:t>
      </w:r>
    </w:p>
    <w:p>
      <w:r>
        <w:t>m 2 /Rasen) seien somit falsch (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 (Einkauf) ,</w:t>
      </w:r>
    </w:p>
    <w:p>
      <w:r>
        <w:t>25 %</w:t>
      </w:r>
    </w:p>
    <w:p>
      <w:r>
        <w:t>(Ernährung, Wohnungspflege) respektive 30 %</w:t>
      </w:r>
    </w:p>
    <w:p>
      <w:r>
        <w:t>(Wäsche, Kleiderpflege) ausging, hält der Vertreter der Beschwer deführerin eine solche von generell 50 % als angemessen. Bei der Ermittlung der konkreten Einschränkungen handelt es sich um einen typischen Ermessensent scheid . Zu beachten gilt es dabei, dass</w:t>
      </w:r>
    </w:p>
    <w:p>
      <w:r>
        <w:t>es b ei der Unangemessenheit um die Frage</w:t>
      </w:r>
    </w:p>
    <w:p>
      <w:r>
        <w:t>geht , ob der zu überprüfende Entscheid, den die Behörde nach dem ihr zustehen den Ermessen im Einklang mit den allgemeinen Rechtsprinzipien in einem konkreten Fall getroffen hat, nicht zweckmässigerweise anders hätte aus fallen sollen. Allerdings darf das Sozialversicherungsgericht sein Ermessen nicht ohne triftigen Grund an die Stelle desjenigen der Verwaltung setzen; es muss sich somit auf Gegebenheiten abstützen können, welche seine abweich ende Ermessensaus übung als nahe liegender erscheinen lassen. Auch ist den Bestrebungen der Ver waltung beziehungsweise der Versicherer Rechnung zu tragen, die darauf abzielen, durch interne Weisungen, Richtlinien, Tabellen, Skalen usw. eine rechts gleiche Behandlung der Versicherten zu gewährleisten. Ermessensmissbrauch ist gegeben, wenn die Behörde zwar im Rahmen des ihr eingeräumten Ermessens bleibt, sich aber von unsachlichen, dem Zweck der massge benden Vorschriften fremden Erwägungen leiten lässt oder allgemeine Rechtsprinzipien, wie das Ver bot von Willkür und von rechtsungleicher Behandlung, das Gebot von Treu und Glauben sowie den Grundsatz der Verhältnismässigkeit ver letzt (BGE 123 V 150 E. 2 mit Hinweisen).</w:t>
      </w:r>
    </w:p>
    <w:p>
      <w:r>
        <w:t>Triftige Gründe, welche ein Abweichen von den vor Ort festgestellten Einschrän kungen rechtfertigen würden, liegen jedoch nicht vor. So berück sichtigte die zuständige Abklärungsperson aufgrund der medizinischen Akten (vgl. E. 3.1) zu Recht, dass die Beschwerdeführerin leichtere Tätigkeiten noch immer selber ver richten kann. Zudem ist von einem Mehrgenerationenhaushalt auszugehen, wobei insbesondere der Schwiegertochter sowie dem Sohn und – auf zumutbare Tätigkeiten beschränkt – dem Ehemann im Rahme n der Schaden minderungs pflicht eine Mithilfe zuzumuten ist. In einer Würdigung der gesamten Umstände erscheint dabei die Festsetzung der Einschränkungen in den Bereichen Ernährung und Wohnungspflege (25 % ), Einkauf (10 % ) und Wäsche/Kleider pflege (30 % ) als zutreffend, zumindest nicht als unang emessen . 4.3</w:t>
      </w:r>
    </w:p>
    <w:p>
      <w:r>
        <w:t>Was die geltend gemachte Nich t berücksichtigung der Gartenarbeit betrifft, ist anzumerken, dass die Angaben in der Haushaltsabklärung nicht unzutreffend sind . So ist von einem Mehrfamilienhaus mit sechs Wohneinheiten auszugehen, wobei die beiden Parterrewohnung en von der Familie der Beschwerdeführerin bewohnt werden; bei der festgehaltenen Rasenfläche (15 m 2 ) handelt es sich um den unmittelbar zur Wohnung gehörenden Sitzplatz. Dass die Beschwerdeführe rin vor den gesundheitlichen Problemen den ganzen Garten des Mehrfamilien hauses gepflegt hat, ist denkbar, ergibt sich aber aus den Abklärungen vor Ort nicht. So ist unter Verschiedenes (u. a. Pflanzen- und Gartenpflege; Urk. 7/18 S.</w:t>
      </w:r>
    </w:p>
    <w:p>
      <w:r>
        <w:t>7) festgehalten, dass gemäss den Angaben vor Ort keine Arbeiten in diesem Bereich anfallen würden. Praxisgemäss stellen die Gerichte im Bereich des Sozialversicherungsrechts in der Regel auf die «Aussagen der ersten Stunde» ab, denen in beweismässiger Hinsicht grösseres Gewicht zukommt als späteren Dar stellungen, die bewusst oder unbewusst von nachträglichen Überlegungen versi cherungsrechtlicher oder anderer Art beeinflusst sein können (BGE 121 V 45 E. 2a, 115 V 133 E. 8c mit Hinweis).</w:t>
      </w:r>
    </w:p>
    <w:p>
      <w:r>
        <w:t>Aufgrund der klaren Angaben im Haus halts abklärungsbericht ist damit davon auszugehen, dass die Beschwerdeführerin vor Eintritt des Gesundheitsschadens nicht berücksichtigungsrelevant im Garten tätig war. Zusammenfassend kann demnach auf die nachvollziehbare und schlüssige Haushaltsabklärung abgestellt werden, was bei einem Invaliditätsgrad von rund 25 % zur Abweisung der Beschwerde führt. 4.4</w:t>
      </w:r>
    </w:p>
    <w:p>
      <w:r>
        <w:t>Selbst wenn man entsprechend den Angaben des Vertreters der Beschwerde führerin davon ausgehen w ürde, dass diese vor Eintritt des Gesundheitsschadens im Umfang von 30 % im Garten tätig gewesen wäre, würde dies nicht zu einem rentenbegründenden Invaliditätsgrad führen. Reduziert man – entsprechend den Ausführungen in der Beschwerde ( Urk. 1 S. 5) –</w:t>
      </w:r>
    </w:p>
    <w:p>
      <w:r>
        <w:t>die Bereiche Ernährung, Wohnungs pflege sowie Wäsche/Kleiderpflege um je 10 % führt dies in diesen Bereichen zu den folgenden Behinderungen: Ernährung 6.25 % (0.25</w:t>
      </w:r>
    </w:p>
    <w:p>
      <w:r>
        <w:t>x 25 % ), Wohnungspflege 2.5 % (0.1 x 25 % ) sowie Wäsche/Kleiderpflege 3 % (0.1</w:t>
      </w:r>
    </w:p>
    <w:p>
      <w:r>
        <w:t>x 30 % ) . Z usammen mit den Behinderungen in den Bereichen Einkauf (0.5 %) sowie Betreuung von Kindern (4.5 % ) ergibt sich eine Teilinvalidität von 16.75 %.</w:t>
      </w:r>
    </w:p>
    <w:p>
      <w:r>
        <w:t>Auch im Bereich Gartenpflege ist nun aber – entsprechend den anderen Tätig keitsbereiche - zu berücksichtigen, dass die Beschwerdeführerin die leichteren Arbeiten noch immer selber erledigen kann; weiter gilt auch hier die Schaden minderungspflicht der Familienangehörigen. Bei einer Einschränkung von 30 % würde dies zu einer Behinderung von 9 % und einem Invaliditätsgrad von 25.75 % führen. Selbst wenn man davon ausginge, dass die Gartenarbeit beson ders kniebelastend ist, führte auch eine Einschränkung von 50 % noch zu keinem rentenbegründenden Invaliditätsgrad (31.75 % ). 4.5</w:t>
      </w:r>
    </w:p>
    <w:p>
      <w:r>
        <w:t>Zusammenfassend führt dies in Abweisung der Beschwerde zur Bestätigung der angefochtenen Verfügung vom 1 3. Februar 2018. 5.</w:t>
      </w:r>
    </w:p>
    <w:p>
      <w:r>
        <w:t>Da es im vorliegenden Verfahren um die Bewilligung oder Verweigerung von IV Leistungen geht, ist das Verfahren kostenpflichtig. Die Gerichtskosten sind nach dem Verfahrensaufwand und unabhängig vom Streitwert festzulegen (Art. 69 Abs. 1 bis IVG) und auf Fr. 800.-- anzusetzen. Entsprechend dem Ausgang des Verfahrens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Jürg Maron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