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IV.2018.00234 vom 29. September 2008</w:t>
      </w:r>
    </w:p>
    <w:p>
      <w:r>
        <w:t>ZH Sozialversicherungsgericht, 2008-09-29, DE</w:t>
      </w:r>
    </w:p>
    <w:p>
      <w:r>
        <w:rPr>
          <w:b/>
        </w:rPr>
        <w:t xml:space="preserve">Quelle: </w:t>
      </w:r>
      <w:r>
        <w:t>https://mcp.opencaselaw.ch/entscheid/zh_sozialversicherungsgericht_IV.2018.00234</w:t>
      </w:r>
    </w:p>
    <w:p>
      <w:r>
        <w:t>FR: ZH_SOZIALVERSICHERUNGSGERICHT IV.2018.00234 du 29 septembre 2008</w:t>
      </w:r>
    </w:p>
    <w:p>
      <w:r>
        <w:t>IT: ZH_SOZIALVERSICHERUNGSGERICHT IV.2018.00234 del 29 settembre 2008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1962 geborene X.___ hat keine berufliche Ausbildung absol viert und war von 1987 bis 2005 als Gipser tätig. Ab März 1991 war er be i der Z.___ , A.___ , angestellt. P er 31. März 2005 wurde das Arbeitsverhältnis seitens der Arbeitg eberin gekündigt ( Urk. 7/2, 7/6, 7/10 und 7/ 17 ) .</w:t>
      </w:r>
    </w:p>
    <w:p>
      <w:r>
        <w:t>Der Versicherte hatte am 10. Juni 2003 eine Kniedistorsion links mit einer Läsion des medialen Meniskushinterhorns und einer Partialruptur des vorderen Kreuzbandes erlitten ( Urk. 7/15/81 f.) Am 12. Oktober 2006 zog er sich bei einem Sturz in der Badewanne eine distale, mehrfragmentäre, intraartikuläre Radius fraktur links zu ( Urk. 7/ 15/128 f.) . Mit Verfügung vom 29. September 2008 sprach ihm d er zuständige Unfallversicherer, die Suva, eine Invalidenrente von 27 % sowie eine Integritätsentschädi gung von 10 % zu (Urk. 7/30) .</w:t>
      </w:r>
    </w:p>
    <w:p>
      <w:r>
        <w:t>Nach dem sich der Versicherte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