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IV.2018.00214 vom 29. Oktober 2018</w:t>
      </w:r>
    </w:p>
    <w:p>
      <w:r>
        <w:t>ZH Sozialversicherungsgericht, 2018-10-29, DE</w:t>
      </w:r>
    </w:p>
    <w:p>
      <w:r>
        <w:rPr>
          <w:b/>
        </w:rPr>
        <w:t xml:space="preserve">Quelle: </w:t>
      </w:r>
      <w:r>
        <w:t>https://mcp.opencaselaw.ch/entscheid/zh_sozialversicherungsgericht_IV.2018.00214</w:t>
      </w:r>
    </w:p>
    <w:p>
      <w:r>
        <w:t>FR: ZH_SOZIALVERSICHERUNGSGERICHT IV.2018.00214 du 29 octobre 2018</w:t>
      </w:r>
    </w:p>
    <w:p>
      <w:r>
        <w:t>IT: ZH_SOZIALVERSICHERUNGSGERICHT IV.2018.00214 del 29 ottobre 2018</w:t>
      </w:r>
    </w:p>
    <w:p>
      <w:pPr>
        <w:pStyle w:val="Heading2"/>
      </w:pPr>
      <w:r>
        <w:t>Erwägungen</w:t>
      </w:r>
    </w:p>
    <w:p>
      <w:r>
        <w:rPr>
          <w:b/>
        </w:rPr>
        <w:t>E. 1.1</w:t>
      </w:r>
    </w:p>
    <w:p>
      <w:r>
        <w:t>Da der Streitwert Fr. 20’000.-- nicht übersteigt, fällt die Beurteilung der Be - schwerde in die einzelrichterliche Zuständigkeit ( § 11 Abs. 1 des Gesetzes über das Sozialversicherungsgericht, GSVGer ).</w:t>
      </w:r>
    </w:p>
    <w:p>
      <w:r>
        <w:rPr>
          <w:b/>
        </w:rPr>
        <w:t>E. 1.2</w:t>
      </w:r>
    </w:p>
    <w:p>
      <w:r>
        <w:t>Invalide oder von einer Invalidität (Art. 8 des Bundesgesetzes über den Allgemei nen Teil des Sozialversicherungsrechts, ATSG ) bedrohte Versicherte haben ge mäss Art. 8 des Bundesgesetzes über die Invalidenversicherung (IVG) Anspruch auf Eingliederungsmassnahmen, soweit (Abs. 1):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 Kapitalhilfe; lit . b) und in der Abgabe von Hilfsmitteln ( lit . d).</w:t>
      </w:r>
    </w:p>
    <w:p>
      <w:r>
        <w:rPr>
          <w:b/>
        </w:rPr>
        <w:t>E. 1.3</w:t>
      </w:r>
    </w:p>
    <w:p>
      <w:r>
        <w:t>Versicherte haben bis zum vollendeten 20. Altersjahr Anspruch auf die zur Be handlung von Geburtsgebrechen ( Art.</w:t>
      </w:r>
    </w:p>
    <w:p>
      <w:r>
        <w:rPr>
          <w:b/>
        </w:rPr>
        <w:t>E. 1.4</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 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 schriften im Sinne von Art. 21 Abs.</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GSVGer ). Gemäss stän diger Rechtsprechung ist in der Regel von der Rück weisung – da diese das Ver fahren verlängert und verteuert – abzusehen, wenn die Rechtsmittelinstanz den Prozess ohne wesentliche Weiterungen erledigen kann. In erster Linie kommt eine Rückweisung in Frage, wenn der Versicherungs träger auf ein Begehren überhaupt nicht eingetreten ist oder es ohne materielle Prüfung abgelehnt hat, wenn schwierige Ermessensentscheide zu treffen sind, o der wenn der ent scheidrelevante Sachverhalt ungenügend abgeklärt ist (vgl. Ur teil des Bundesgerichts U 209/02 vom 10. September 2003 E. 5.2). 2.</w:t>
      </w:r>
    </w:p>
    <w:p>
      <w:r>
        <w:rPr>
          <w:b/>
        </w:rPr>
        <w:t>E. 2</w:t>
      </w:r>
    </w:p>
    <w:p>
      <w:r>
        <w:t>Die SWICA erhob am 23. Februar 2018 Beschwerde gegen die Verfügung vom 30. Januar 2018 (Urk. 2) und beantragte, diese sei aufzuheben und die IV-Stelle sei zu verpflichten, die Kostengutsprache für propriozeptive Fussorthesen zu er teilen (Urk. 1 S. 2 Ziff. I). Mit Beschwerdeantwort vom 30. April 2018 (Urk. 6) beantragte die IV-Stelle die Abweisung der Beschwerde. Dies wurde der Be schwerdeführerin am 6. August 2018 zur Kenntnis gebracht (Urk. 8). Der Einzelrichter zieht in Erwägung: 1.</w:t>
      </w:r>
    </w:p>
    <w:p>
      <w:r>
        <w:rPr>
          <w:b/>
        </w:rPr>
        <w:t>E. 2.1</w:t>
      </w:r>
    </w:p>
    <w:p>
      <w:r>
        <w:t>Die Beschwerdegegnerin führte in der angefochtenen Verfügung (Urk. 2 /1 ) aus , dass p ropriozeptive Fussorthesen nicht in der Liste der HVI aufgeführt sei e n und daher keiner der Hilfsmittelkategorien zugeordnet werden könnten. Proprio zep tive Fussorthesen gälten grundsätzlich als Behandlungsgeräte. Es gebe keine Nac hweise der Wirksamkeit im Zusam menhang mit dem Geburtsgebrechen Ziff. 126 ( Osteogen es is</w:t>
      </w:r>
    </w:p>
    <w:p>
      <w:r>
        <w:t>imperfecta ) , an welchem die Versicherte leide.</w:t>
      </w:r>
    </w:p>
    <w:p>
      <w:r>
        <w:t>Proprio zeptive Fussorthesen sei en den n auch zur Behandlung der Spastik bei Cerebral parese entwickelt worden. Ihre Recherche habe ergeben, dass wissenschaftliche Belege für die Wirksamkeit von propriozeptiven Einlagen oder Fussorthesen bei der Osteogenesis</w:t>
      </w:r>
    </w:p>
    <w:p>
      <w:r>
        <w:t>imperfecta bislang fehlten. Insbesonder e sei ein sturzvermin dernder Ef fekt wissenschaftlich bislang nicht nachgewiesen worden (S. 1 un ten f.) .</w:t>
      </w:r>
    </w:p>
    <w:p>
      <w:r>
        <w:t>Daran hielt die Beschwerdegegnerin in ihrer Beschwerdeantwort (Urk. 6) grund sätzlich fest und führte ergänzend aus, dass offenbleiben könne , ob es sich bei der beantragten Leistu ng überhaupt um Orthesen handle, da Orthesen den Knö chel umschliessen würden, was bei propriozeptiven Orthesen nicht der Fall sei, es handle sich vielmehr um eine Art Einlagen. Im Rahmen einer Behandlung (medi zinische Massnahme n) könnten Schuheinlagen als Be handlungsgerät abgegeben werden, ansonsten fielen sie nicht in den Leistungsbere ich der Invalidenversiche rung (S.</w:t>
      </w:r>
    </w:p>
    <w:p>
      <w:r>
        <w:t>2).</w:t>
      </w:r>
    </w:p>
    <w:p>
      <w:r>
        <w:rPr>
          <w:b/>
        </w:rPr>
        <w:t>E. 2.2</w:t>
      </w:r>
    </w:p>
    <w:p>
      <w:r>
        <w:t>Die Beschwerdeführerin stellte sich demgegenüber beschwerdeweise (Urk. 1) auf den Standpunkt, die Versicherte</w:t>
      </w:r>
    </w:p>
    <w:p>
      <w:r>
        <w:t>leide unbestrittenermassen an einem IV-pflichtigen Geburtsgebrechen ( Osteogenesis</w:t>
      </w:r>
    </w:p>
    <w:p>
      <w:r>
        <w:t>imperfecta ). Ebenso unbestritten sei, dass sie die Fussorthesen benötige und dass diese medizinisch indiziert und ärzt lich verordnet worden seien (S. 4 Ziff. IV.2) . Die n eue Praxis der Beschwerdegeg nerin , Fussorthesen nur noch im Zusammenhang mit dem Geburtsgebrechen Ziff.</w:t>
      </w:r>
    </w:p>
    <w:p>
      <w:r>
        <w:t>390 (a ngeborene cerebrale Lähmungen ) zu übernehmen, sei bun desrechts widrig, da die einzige Voraussetzung die Notw endigkeit der Behandlung bilde (S. 4 Ziff. IV.3). Zusammenfassend l eide die Versicherte an ein em</w:t>
      </w:r>
    </w:p>
    <w:p>
      <w:r>
        <w:t>behandlun gs bedürftigen Geburtsgebrechen , zu dessen charakteristischen Symptomen ein ext rem auffälliges und instabiles Gangbild mit erhöhter Sturzgefahr gehöre. Um die ses zu behandeln und die Gehfähigkeit zu gewährleisten, seien Fussorthesen not wendig. Dabei handle es sich um Vorkehrungen, die nach bewährter Erkenntnis der medizinischen Wissenschaft angezeigt seien und den therapeutischen Erfolg in einfacher und zweckmässiger Weise anstreb ten. Insofern habe die Beschwer degegnerin die entsprechende Behandlung zu übernehmen (S. 5 Ziff. IV.5). 3.</w:t>
      </w:r>
    </w:p>
    <w:p>
      <w:r>
        <w:rPr>
          <w:b/>
        </w:rPr>
        <w:t>E. 3</w:t>
      </w:r>
    </w:p>
    <w:p>
      <w:r>
        <w:t>GgV ).</w:t>
      </w:r>
    </w:p>
    <w:p>
      <w:r>
        <w:rPr>
          <w:b/>
        </w:rPr>
        <w:t>E. 3.1</w:t>
      </w:r>
    </w:p>
    <w:p>
      <w:r>
        <w:t>PD Dr. med. A.___ , Fachärztin für Kinder- und Jugendmedizin und für Medizinische Genetik, Kinderspital</w:t>
      </w:r>
    </w:p>
    <w:p>
      <w:r>
        <w:t>B.___ , führte in ihrem Bericht vom 17.</w:t>
      </w:r>
    </w:p>
    <w:p>
      <w:r>
        <w:t>Februar 2017 (Urk. 7/7/5-7 = Urk. 3/3 ) aus, dass die Versicherte am Geburts gebrechen Ziff. 126 ( Osteogenesis</w:t>
      </w:r>
    </w:p>
    <w:p>
      <w:r>
        <w:t>imperfecta ) leide (Ziff. 1.1, Ziff. 1.3).</w:t>
      </w:r>
    </w:p>
    <w:p>
      <w:r>
        <w:rPr>
          <w:b/>
        </w:rPr>
        <w:t>E. 3.2</w:t>
      </w:r>
    </w:p>
    <w:p>
      <w:r>
        <w:t>In ihrem Bericht vom 29. September 2017 (Urk.</w:t>
      </w:r>
    </w:p>
    <w:p>
      <w:r>
        <w:t>7/33) legte PD Dr. A.___ dar, dass die Versicherte an einer Osteogenesis</w:t>
      </w:r>
    </w:p>
    <w:p>
      <w:r>
        <w:t>imperfecta leide und bisher folgende Frakturen erlitten habe : Tibiafraktur rechts Juni 2015, Tibiaschaftfraktur links Februar 2016, Tibiaschaftfraktur und proximale Fibulafraktur links Juli 2016, Tibiaspiralfraktur links Oktober 2016, Femorschaftfraktur November 2016, Femorschaftfraktur Mai 2017 und aktuell Tibiaschaftfraktur links. Trotz intensi ver Physiotherapie sei die Mobilität teilweise deutlich eingeschränkt und die Kno chendichte entspreche dem Bild einer Osteoporose. Insgesamt sei eine Regression der motorischen Entwicklung der Versicherten zu beobachten.</w:t>
      </w:r>
    </w:p>
    <w:p>
      <w:r>
        <w:rPr>
          <w:b/>
        </w:rPr>
        <w:t>E. 3.3</w:t>
      </w:r>
    </w:p>
    <w:p>
      <w:r>
        <w:t>Dr. med. C.___ , Oberärztin,</w:t>
      </w:r>
    </w:p>
    <w:p>
      <w:r>
        <w:t>B.___ ,</w:t>
      </w:r>
    </w:p>
    <w:p>
      <w:r>
        <w:t>stellte der Versicherten am 15. November 2017 ein Rezept für ein Paar propiozeptive Fussorthesen nach Abdruck aufgrund der Diagnose eines Zustandes nach mehrfacher Fraktur bei Osteogenesis</w:t>
      </w:r>
    </w:p>
    <w:p>
      <w:r>
        <w:t>imper fecta mit Knick-Senkfüsse n bei Instabilität des oberen Sprunggelenkes und Me tatarsus, extrem auffälliges und instabiles Gangbild mit erhöhter Sturzgefahr, aus (Urk. 7/38 = Urk. 7/49 /1 = Urk. 3/8 ). 3. 4</w:t>
      </w:r>
    </w:p>
    <w:p>
      <w:r>
        <w:t>Der internen Telefonnotiz der Beschwerdegegnerin mit m ed. pract . D.___ , Fachärztin für orthopädische Chirurgie und Traumatologie des Bewe gungsapparates , des Regionalen Ärztlichen Dienstes (RAD) vom 30. Januar 2018 (Urk. 7/50) ist zu entnehmen, dass gemäss Rücksprache mit med. pract .</w:t>
      </w:r>
    </w:p>
    <w:p>
      <w:r>
        <w:t>D.___ die propriozeptive n Fussorthesen abgelehnt würden, da es keine wissenschaftli che n Nachweise der Wirksamkeit im Zusammenhang mit dem Geburtsgebrechen Ziff. 126 gebe. 4.</w:t>
      </w:r>
    </w:p>
    <w:p>
      <w:r>
        <w:rPr>
          <w:b/>
        </w:rPr>
        <w:t>E. 4</w:t>
      </w:r>
    </w:p>
    <w:p>
      <w:r>
        <w:t>IVG hat der Bundesrat in Art. 14 der Ver ordnung über die Invalidenversicherung (IVV) an das Eidgenössische Departe ment des Innern übertragen, welches die Verordnung über die Abgabe von Hilfs 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 steht nur, soweit diese für die Ausübung einer Erwerbstätigkeit oder die Tätigkeit im Aufgabenbereich, für die Schulung, die Ausbildung, die funktionelle Ange wöhnung oder für die in der zutreffenden Ziffer des Anhangs ausdrücklich ge nannte Tätigkeit notwendig sind ( Abs. 2; BGE 122 V 212 E. 2a). 1.</w:t>
      </w:r>
    </w:p>
    <w:p>
      <w:r>
        <w:rPr>
          <w:b/>
        </w:rPr>
        <w:t>E. 4.1</w:t>
      </w:r>
    </w:p>
    <w:p>
      <w:r>
        <w:t>Vorliegend ist unbestritten, dass die Versicherte am Geburtsgebrechen Ziff. 126 ( Osteogenesis</w:t>
      </w:r>
    </w:p>
    <w:p>
      <w:r>
        <w:t>imperfecta ) leidet und daher grundsätzlich Anspruch auf die zu de ren Behandlung notwendigen medizinischen Massnahmen nach Art. 13 Abs. 1 IV G hat (vorstehend E. 2.1, E. 2.2) .</w:t>
      </w:r>
    </w:p>
    <w:p>
      <w:r>
        <w:t>Zudem ist unbestritten, dass es sich bei den propriozeptiven Fussorthesen um ein Behandlungsgerät handelt (vorstehend E. 2.1; vgl. Urk. 1). Streitig ist hingegen, ob betreffend das Behandlungsgerät die Voraussetzungen zur Gewährung von medizinische n Massnahmen, insbesondere die medizinische Wissenschaftlichkeit (vgl. vorstehend 1. 3 ) ,</w:t>
      </w:r>
    </w:p>
    <w:p>
      <w:r>
        <w:t>erfüllt sind .</w:t>
      </w:r>
    </w:p>
    <w:p>
      <w:r>
        <w:rPr>
          <w:b/>
        </w:rPr>
        <w:t>E. 4.2</w:t>
      </w:r>
    </w:p>
    <w:p>
      <w:r>
        <w:t>Die Leistungspflicht der Invalidenversicherung bei medizinischen Massnahmen setzt unter anderem voraus, dass die Massnahmen nach bewährter Erkenntnis der medizinischen Wissenschaft angezeigt sind ( Art. 2 Abs. 3 GgV ). Nach der Recht sprechung gilt eine Behandlungsart dann als bewährter Erkenntnis der medizini schen Wissenschaft entsprechend, wenn sie von Forschern und Praktikern der medizinischen Wissenschaft auf breiter Basis anerkannt ist. Die für den Bereich der Krankenpflege entwickelte Definition der Wissenschaftlichkeit findet prinzi piell auch auf die medizinischen Massnahmen der Invalidenversicherung Anwen dung ( vgl. Urteil des Bundesgerichts 8C_590/2011 vom 13. Juni 2012 E. 2.4 mit Hinweisen ).</w:t>
      </w:r>
    </w:p>
    <w:p>
      <w:r>
        <w:t>Die Beschwerdegegnerin begründete den von ihr postulierten fehlenden wissen schaftlichen Nachweis für die Wirksamkeit von propriozeptiven Einlagen oder Fussorthesen bei der Osteogenesis</w:t>
      </w:r>
    </w:p>
    <w:p>
      <w:r>
        <w:t>imperfecta einerseits mit ihrer Recherche in der medizinischen Datenbank PubMed unter Verwendung von verschiedenen Such begriffen (Urk. 2/1 S. 1), und andererseits gestützt auf eine Telefonnotiz mit der RAD-Ärztin med. pract . D.___ , wonach auch die RAD-Ärztin die gleiche Auf fassung vertrete (vorstehend E. 3. 4 ). Weitere Abklärungen tätigte die Beschwer degegnerin hingegen nicht.</w:t>
      </w:r>
    </w:p>
    <w:p>
      <w:r>
        <w:t>Dr. C.___</w:t>
      </w:r>
    </w:p>
    <w:p>
      <w:r>
        <w:t>vo m</w:t>
      </w:r>
    </w:p>
    <w:p>
      <w:r>
        <w:t>B.___ äusserte sich in ihrer ärztlichen Verordnung für ein Paar propi ozeptive Fussorthesen nach Abdruck nicht zur Frage der medizinischen Wissen schaftlichkeit (vorstehend E. 3.3).</w:t>
      </w:r>
    </w:p>
    <w:p>
      <w:r>
        <w:rPr>
          <w:b/>
        </w:rPr>
        <w:t>E. 4.3</w:t>
      </w:r>
    </w:p>
    <w:p>
      <w:r>
        <w:t>Nach dem Gesagten kann aufgrund der vorliegenden sehr spärlichen Aktenlage nicht beurteilt werden, ob die Wirksamkeit von propiozeptiven Fussorthesen bei der Osteogenesis</w:t>
      </w:r>
    </w:p>
    <w:p>
      <w:r>
        <w:t>imperfecta wissenschaftlich belegt ist. Die Beschwerdegegnerin hätte zumindest bei Dr. C.___</w:t>
      </w:r>
    </w:p>
    <w:p>
      <w:r>
        <w:t>vom</w:t>
      </w:r>
    </w:p>
    <w:p>
      <w:r>
        <w:t>B.___ oder sonst bei einem medizinischen Spe zialisten nachfragen müssen , wie es sich diesbezüglich verhält.</w:t>
      </w:r>
    </w:p>
    <w:p>
      <w:r>
        <w:t>Mithin ist die Sache an die Beschwerdegegnerin zurückzuweisen, damit diese nach Vornahme weiterer Abklärungen neu über den Anspruch auf die Abgabe des beantragten Behandlungsgeräts verfügt.</w:t>
      </w:r>
    </w:p>
    <w:p>
      <w:r>
        <w:rPr>
          <w:b/>
        </w:rPr>
        <w:t>E. 4.4</w:t>
      </w:r>
    </w:p>
    <w:p>
      <w:r>
        <w:t>Bei dieser Ausgangslage kann offengelassen werden , ob die übrigen Vorausset zungen zur Gewährung von medizinischen Massnahmen (vgl. vorstehend E. 1. 3 ) erfüllt sind.</w:t>
      </w:r>
    </w:p>
    <w:p>
      <w:r>
        <w:t>Zudem kann</w:t>
      </w:r>
    </w:p>
    <w:p>
      <w:r>
        <w:t>ebenfalls offengelassen werden, ob es sich bei den beantragten propriozeptiven Fussorthesen überhaupt um Orthesen handelt oder ob es sich da bei vielmehr um orthopädische Schuheinlagen handelt und ob diese</w:t>
      </w:r>
    </w:p>
    <w:p>
      <w:r>
        <w:t>ausserdem als Hilfsmittel zu qualifizieren wären .</w:t>
      </w:r>
    </w:p>
    <w:p>
      <w:r>
        <w:rPr>
          <w:b/>
        </w:rPr>
        <w:t>E. 5</w:t>
      </w:r>
    </w:p>
    <w:p>
      <w:r>
        <w:t>Da es im vorliegenden Verfahren um die Bewilligung oder Verweigerung von IV-Leistungen geht, ist das Verfahren kostenpflichtig. Die Gerichtskosten sind nach dem Verfahrensaufwand und unabhängig vom Streitwert festzulegen ( Art. 69 Abs. 1 bis IVG) und auf Fr. 500.-- anzusetzen. Entsprechend dem Ausgang des Ver fahrens sind sie der unterliegenden Beschwerdegegnerin aufzuerlegen. Der Einzelrichter erkennt: 1.</w:t>
      </w:r>
    </w:p>
    <w:p>
      <w:r>
        <w:t>Die Beschwerde wird in dem Sinne gutgeheissen, dass die Verfügung vom 30. Januar 2018 aufgehoben und die Sache an die Sozialversicherungsanstalt des Kantons Zürich, IV-Stelle, zurückgewiesen wird, damit diese , nach erfolgter Abklärung im Sinne der Er wägungen , neu verfüge. 2.</w:t>
      </w:r>
    </w:p>
    <w:p>
      <w:r>
        <w:t>Die Gerichtskosten von Fr. 500 .-- werden der Beschwerdegegnerin auferlegt.</w:t>
      </w:r>
    </w:p>
    <w:p>
      <w:r>
        <w:t>Rechnung und Einzahlungsschein werden der Kostenpflichtigen nach Eintritt der Rechtskraft zu gestellt. 3.</w:t>
      </w:r>
    </w:p>
    <w:p>
      <w:r>
        <w:t>Zustellung gegen Empfangsschein an: - SWICA Krankenversicherung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BachofnerPeter-Schwarzenberger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