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IV.2018.00143 vom 9. April 2019</w:t>
      </w:r>
    </w:p>
    <w:p>
      <w:r>
        <w:t>ZH Sozialversicherungsgericht, 2019-04-09, DE</w:t>
      </w:r>
    </w:p>
    <w:p>
      <w:r>
        <w:rPr>
          <w:b/>
        </w:rPr>
        <w:t xml:space="preserve">Quelle: </w:t>
      </w:r>
      <w:r>
        <w:t>https://mcp.opencaselaw.ch/entscheid/zh_sozialversicherungsgericht_IV.2018.00143</w:t>
      </w:r>
    </w:p>
    <w:p>
      <w:r>
        <w:t>FR: ZH_SOZIALVERSICHERUNGSGERICHT IV.2018.00143 du 9 avril 2019</w:t>
      </w:r>
    </w:p>
    <w:p>
      <w:r>
        <w:t>IT: ZH_SOZIALVERSICHERUNGSGERICHT IV.2018.00143 del 9 aprile 2019</w:t>
      </w:r>
    </w:p>
    <w:p>
      <w:pPr>
        <w:pStyle w:val="Heading2"/>
      </w:pPr>
      <w:r>
        <w:t>Erwägungen</w:t>
      </w:r>
    </w:p>
    <w:p>
      <w:r>
        <w:rPr>
          <w:b/>
        </w:rPr>
        <w:t>E. 11</w:t>
      </w:r>
    </w:p>
    <w:p>
      <w:r>
        <w:t>Mai 2015 beruft (vgl. Urk. 1 S. 3), entschied dieses kürzlich, dass daran nicht festgehalten werden könne (Urteil des Bundesgerichts 9C_114/2018 vom 19. Juli 2018 E. 4.4). 4.3</w:t>
      </w:r>
    </w:p>
    <w:p>
      <w:r>
        <w:t>Nach dem Gesagten hat die Beschwerdegegnerin das Gesuch des Beschwerdefüh rers um Übernahme der Mehrkosten der Hörgeräteversorgung mangels Vorliegen s eines Härtefalls zu Recht abgelehnt .</w:t>
      </w:r>
    </w:p>
    <w:p>
      <w:r>
        <w:t>Die angefochtene Verfügung erweist sich demnach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(Art. 69 Abs. 1 bis IVG) und auf Fr. 4 00.-- anzusetzen. Entsprechend dem Ausgang des Verfahrens sind sie dem unterliegenden Beschwerdeführer aufzuerlegen. Die Einzelrichterin erkennt: 1.</w:t>
      </w:r>
    </w:p>
    <w:p>
      <w:r>
        <w:t>Die Beschwerde wird abgewiesen. 2.</w:t>
      </w:r>
    </w:p>
    <w:p>
      <w:r>
        <w:t>Die Gerichtskosten von Fr. 400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KächMeierhans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