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IV.2017.01334 vom 6. Juni 2019</w:t>
      </w:r>
    </w:p>
    <w:p>
      <w:r>
        <w:t>ZH Sozialversicherungsgericht, 2019-06-06, DE</w:t>
      </w:r>
    </w:p>
    <w:p>
      <w:r>
        <w:rPr>
          <w:b/>
        </w:rPr>
        <w:t xml:space="preserve">Quelle: </w:t>
      </w:r>
      <w:r>
        <w:t>https://mcp.opencaselaw.ch/entscheid/zh_sozialversicherungsgericht_IV.2017.01334</w:t>
      </w:r>
    </w:p>
    <w:p>
      <w:r>
        <w:t>FR: ZH_SOZIALVERSICHERUNGSGERICHT IV.2017.01334 du 6 juin 2019</w:t>
      </w:r>
    </w:p>
    <w:p>
      <w:r>
        <w:t>IT: ZH_SOZIALVERSICHERUNGSGERICHT IV.2017.01334 del 6 giugno 2019</w:t>
      </w:r>
    </w:p>
    <w:p>
      <w:pPr>
        <w:pStyle w:val="Heading2"/>
      </w:pPr>
      <w:r>
        <w:t>Erwägungen</w:t>
      </w:r>
    </w:p>
    <w:p>
      <w:r>
        <w:rPr>
          <w:b/>
        </w:rPr>
        <w:t>E. 1</w:t>
      </w:r>
    </w:p>
    <w:p>
      <w:r>
        <w:t>9. Juni 2006 teilte die IV-Stelle der Versicherten mit, sie habe weiterhin An spruch auf die bisherige Rente bei einem Invaliditätsgrad von 100 % ( Urk. 9/51).</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lich 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1.4</w:t>
      </w:r>
    </w:p>
    <w:p>
      <w:r>
        <w:t>Die für die Beurteilung der Arbeitsfähigkeit bei psychischen Erkrankungen im Regel 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Im Regelfall ist eine medizinisch attestierte Verbesserung der Arbeitsfähigkeit auf dem Weg der Selbsteingliederung zu verwerten. Nach langjährigem Rentenbezug können ausnahmsweise Erfordernisse des Arbeitsmarktes der Anrechnung einer medi zinisch vorhandenen Leistungsfähigkeit und medizinisch möglichen Leis tungs entfaltung entgegenstehen, wenn aus den Akten einwandfrei hervorgeht, dass die Verwertung eines bestimmten Leistungspotenzials ohne vorgängige Dur ch führung befähigender Massnahmen allein vermittels Eigenanstrengung der versicherten Person nicht möglich ist. Diese Rechtsprechung ist grundsätzlich auf Fälle zu beschränken, in denen die (revisions- oder wiedererwägungsweise) Her ab setzung oder Aufhebung der Invalidenrente eine versicherte Person betrifft, welche das 55. Altersjahr zurückgelegt oder die Rente seit mehr als 15 Jahren bezogen hat. Dies bedeutet nicht, dass die darunter fallenden Rentnerinnen und Rentner einen Besitzstandsanspruch geltend machen könnten; es wird ihnen lediglich zugestanden, dass – von Ausnahmen abgesehen – aufgrund des fort ge 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 kommen ziffernmässig möglichst genau ermittelt und einander gegenübergestellt werden, worauf sich aus der Einkommensdifferenz der Invaliditätsgrad bestimmen</w:t>
      </w:r>
    </w:p>
    <w:p>
      <w:r>
        <w:t>lässt (sog. allgemeine Methode des Einkommensvergleichs; BGE 130 V 343 E. 3.4 .2 mit Hinweisen).</w:t>
      </w:r>
    </w:p>
    <w:p>
      <w:r>
        <w:rPr>
          <w:b/>
        </w:rPr>
        <w:t>E. 1.7</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Einzelfall nach pflichtgemässem Ermessen gesamthaft zu schätzen und darf 25 %</w:t>
      </w:r>
    </w:p>
    <w:p>
      <w:r>
        <w:t>nicht übersteigen (BGE 135 V 297 E. 5.2; 134 V 322 E. 5.2 und 126 V 75 E. 5b/ bb -cc). Die Rechtsprechung gewährt insbesondere dann einen Abzug auf dem Invalideneinkommen, wenn eine versicherte Person selbst im Rahmen kör per 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 9C_846/2014 vom 22. Januar 2015 E. 4.1.1 mit Hinweisen; vgl. Urteil des Bundesgerichts 8C_805/2016 vom 22. März 2017 E. 3.1).</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 Urk. 2) davon aus, das eingeholte Gutachten zeige, dass sich der Gesundheitszustand der Be schwerdeführerin seit Januar 2015 verbessert habe (S. 2 oben). Die rechtspre chungs gemäss erforderliche Prüfung allfälliger Eingliederungsmassnahmen sei erfolgt, und eine erneute Begutachtung sei nicht erforderlich, da sich zwischen zeitlich keine Veränderung der medizinischen Situation ergeben habe (S. 3 oben). Eine an ihren Gesundheitszustand angepasste Tätigkeit sei der Beschwerde füh rerin zu 80 % zumutbar, womit ein Invaliditätsgrad von 20 % resultiere (S. 2 unten). 2.2</w:t>
      </w:r>
    </w:p>
    <w:p>
      <w:r>
        <w:t>Die Beschwerdeführerin stellte sich demgegenüber auf den Standpunkt ( Urk. 1), auf das eingeholte Gutachten könne aus näher dargelegten Gründen nicht abge stellt werden (S. 5 Ziff. 1a, S. 8 f f . Ziff. 2 ). Die dem Entscheid zugrunde gelegte Beurteilung durch den Regionalen Ärztlichen Dienst (RAD) beruhe auf falschen Annahmen (S. 6 f. Ziff. 1c) , ebenso die Begründung der angefochtenen Verfügung (S. 10 Ziff. 3). Das Valideneinkommen sei unzutreffend festgesetzt worden (S. 11 Ziff. 4a) und das Invalideneinkommen sei unrealistisch hoch (S. 12 Ziff. 4b). Eine Selbsteingliederung sei ihr aus näher genannten Gründen nicht möglich (S. 12 ff. Ziff. 5). 2.3</w:t>
      </w:r>
    </w:p>
    <w:p>
      <w:r>
        <w:t>Strittig und zu prüfen sind die Arbeitsfähigkeit der Beschwerdeführerin und ob diesbezüglich auf das eingeholte Gutachten abgestellt werden kann, die Fra ge der Eingliederungsmassnahmen sowie die Invaliditätsbemessung. 3.</w:t>
      </w:r>
    </w:p>
    <w:p>
      <w:r>
        <w:rPr>
          <w:b/>
        </w:rPr>
        <w:t>E. 3</w:t>
      </w:r>
    </w:p>
    <w:p>
      <w:r>
        <w:t>Die Versicherte wurde am 1 9. Dezember 2000 Opfer einer Körperverletzung ( Urk. 9/14/99). Die Suva sprach ihr mit Verfügung vom 1 3. Februar 2004 eine Invalidenrente entsprechend einer Erwerbsunfähigkeit von 100 %</w:t>
      </w:r>
    </w:p>
    <w:p>
      <w:r>
        <w:t>ab Februar 2004 ( Urk. 9/28 = Urk. 9/48 / 4-6) und mit Verfügung vom 1. Februar 2006 eine Integritätsentschädigung entsprechend einer Integritätseinbusse von 50 % ( Urk. 9/48/2-3) zu.</w:t>
      </w:r>
    </w:p>
    <w:p>
      <w:r>
        <w:t>Mit Verfügung vom 2 1. Juni 2016 reduzierte die Suva die Rente ab Juli 2016 auf 38 % ( Urk. 9/111 = Urk. 9/114). Dies bestätigte sie mit Einspracheentscheid vom 3. Januar 2017 ( Urk. 9/129). Das Gericht zieht in Erwägung: 1.</w:t>
      </w:r>
    </w:p>
    <w:p>
      <w:r>
        <w:rPr>
          <w:b/>
        </w:rPr>
        <w:t>E. 3.1</w:t>
      </w:r>
    </w:p>
    <w:p>
      <w:r>
        <w:t>Am 1 9. Dezember 2000 wurde die Beschwerdeführerin von ihrem ehemaligen Freund angegriffen und erlitt einen Unterschenkel-Durchschuss links mit Tibiaschaft -Trümmerfraktur ( Urk. 9/14/96-97 S. 1 Mitte).</w:t>
      </w:r>
    </w:p>
    <w:p>
      <w:r>
        <w:rPr>
          <w:b/>
        </w:rPr>
        <w:t>E. 3.2</w:t>
      </w:r>
    </w:p>
    <w:p>
      <w:r>
        <w:t>Dr. med. Y.___ , Facharzt für Chirurgie, Suva-Kreisarzt führte im Bericht vom 1 1. September 2002 ( Urk. 9/14/4-7 = Urk. 9/25/28-31 = Urk. 9/77/231-234 ) über die gleichentags erfolgte Untersuchung unter anderem aus, wenn man unab hängig vom subjektiven Beschwerdebild lediglich die objektivierbaren Befunde betrachte, so wäre eigentlich eine halbtägige sitzende Arbeit, wie die als Wicklerin ausgeführte, zumutbar (S. 4 oben).</w:t>
      </w:r>
    </w:p>
    <w:p>
      <w:r>
        <w:rPr>
          <w:b/>
        </w:rPr>
        <w:t>E. 3.3</w:t>
      </w:r>
    </w:p>
    <w:p>
      <w:r>
        <w:t>Dr. med. Z.___ , Fachärztin für Psychiatrie und Psycho the rapie ,</w:t>
      </w:r>
    </w:p>
    <w:p>
      <w:r>
        <w:t>Suva Versicherungsmedizin, berichtete am 2 8. April 2003 über ihre am 1 6. April 2013 erfolgte Untersuchung ( Urk. 9/149/87-100). Sie führte unter anderem aus, die Beschwerdeführerin berichte neben den anhaltenden Schmerzen im Bein und phasenweise im Rücken über eine Grundstimmung der Angst. Daneben bestehe eine deutlich depressive Verstimmung in mittelschwerem Ausmass mit leichteren und schwereren Phasen. Zusätzlich</w:t>
      </w:r>
    </w:p>
    <w:p>
      <w:r>
        <w:t>bestünden episodisch Angstzustände. Alle diese Beschwerden stünden in engem Zusammenhang mit dem konkreten Anlass der Fussverletzung und des vermuteten Tötungsversuchs</w:t>
      </w:r>
    </w:p>
    <w:p>
      <w:r>
        <w:t>vom 1 9. Dezember 20 00 sowie der fortgesetzten Bedrohung für sie und ihr Kind durch den Täter. Nach ICD-10 entspreche dies einer Angst- und depressiven Reaktion gemischt (F43.22 ) .</w:t>
      </w:r>
    </w:p>
    <w:p>
      <w:r>
        <w:t>Bei den fortbestehenden Schmerzen stell e sich die</w:t>
      </w:r>
    </w:p>
    <w:p>
      <w:r>
        <w:t>Frage, in welchem Ausmass diese durch die fortbestehende reale Bedrohung und die</w:t>
      </w:r>
    </w:p>
    <w:p>
      <w:r>
        <w:t>Konfliktsituation ver stärkt w ü rden. Man müsste dann von einer anhaltenden somatoformen</w:t>
      </w:r>
    </w:p>
    <w:p>
      <w:r>
        <w:t>Schmerz stö run g ( ICD-10 F45.4) ausgehen (S. 13 oben) .</w:t>
      </w:r>
    </w:p>
    <w:p>
      <w:r>
        <w:t>Bezüglich Arbeitsfähigkeit sei deutlich geworden, dass die Beschwerdeführerin nicht aus Gründen der Schmerzen, sondern wesentlich aus Gründen der fortge setzten Angst nicht in der Lage sei, die Arbeit wieder aufzunehmen . Die Sorgen um ihr Kind wirkten sich unter anderem auf ihre Konzentrationsfähigkeit und Belastbarkeit am Arbeitsplatz aus (S. 13 unten).</w:t>
      </w:r>
    </w:p>
    <w:p>
      <w:r>
        <w:rPr>
          <w:b/>
        </w:rPr>
        <w:t>E. 3.4</w:t>
      </w:r>
    </w:p>
    <w:p>
      <w:r>
        <w:t>Am 9. Januar 20 0 6 berichtete Dr. Z.___ (vorstehend E. 3.3) über ihre am 1 3. Dezember 20 0 5 erfolgte Untersuchung ( Urk. 9/7</w:t>
      </w:r>
    </w:p>
    <w:p>
      <w:r>
        <w:rPr>
          <w:b/>
        </w:rPr>
        <w:t>E. 7</w:t>
      </w:r>
    </w:p>
    <w:p>
      <w:r>
        <w:t>Mitte). Der Oberschenkelumfang betrage</w:t>
      </w:r>
    </w:p>
    <w:p>
      <w:r>
        <w:rPr>
          <w:b/>
        </w:rPr>
        <w:t>E. 10</w:t>
      </w:r>
    </w:p>
    <w:p>
      <w:r>
        <w:t>Ziff. 3) darstellen und inwiefern es die materielle Richtigkeit der Ver fügung beeinträchtigen</w:t>
      </w:r>
    </w:p>
    <w:p>
      <w:r>
        <w:t>sollte, ist aber weder dargetan worden noch ersicht lich. 5.6</w:t>
      </w:r>
    </w:p>
    <w:p>
      <w:r>
        <w:t>Weiter wurde in der Beschwerde ( Urk. 1) geltend gemacht, rechtspre chungs ge mäss sei in einer Konstellation wie der vorliegenden die Verwertbarkeit der Rest arbeitsfähigkeit beziehungsweise die Wiedereingliederung durch die Beschwerde gegnerin gezielt zu prüfen (S. 13 Ziff. 5b). Wenn es der Beschwerdeführerin (ge meint wohl: Beschwerdegegnerin) nicht gelinge, die Beschwerdeführerin in den ersten Arbeitsmarkt einzugliedern, dann sei ihr auch die bisherige Rente weiter auszurichten (S. 15 Ziff. 5 h ).</w:t>
      </w:r>
    </w:p>
    <w:p>
      <w:r>
        <w:t>Einen solchen Automatismus sieht die R echtsprechung (vorstehend E. 1.5 ) aber gerade nicht vor. Vielmehr geht es darum, in den betreffenden Fä llen die ver sicherte Person bei ihrem Bemühen um eine Verwertung ihrer Arbeitsfähigkeit zu unterstützen. Wenn dies - wie hier - r echtsprechungsgemäss stattfindet , sich dabei aber herausstellt, dass nicht die Leistung erbracht wurde, die gemäss der verbindlichen medizinisch-gutachterlichen Feststellung zumutbarerweise erwartet werden könnte, führt dies nicht dazu, dass die attestierte Arbeitsfähigkeit gleich sam ersetzt würde durch diejenige, die der gezeigten Leistung entsprechen würde. 5 .7</w:t>
      </w:r>
    </w:p>
    <w:p>
      <w:r>
        <w:t>Schliesslich wurde in der Beschwerde ( Urk. 1) geltend gemacht, die Beschwerde gegnerin hätte nach dem Scheitern der Eingliederungsmassnahmen - unter anderem - einen zweiten Vorbescheid erlassen sollen (S. 5 f. Ziff. 1b), zumal der RAD-Arzt dipl. med. F.___ am 1 9. Mai 2017 «von keiner verwertbaren Arbeits leistung für den ersten Arbeitsmarkt» ausgegangen sei (S. 6 oben).</w:t>
      </w:r>
    </w:p>
    <w:p>
      <w:r>
        <w:t>Das Zitat ist irreführend, denn es handelte sich dabei klarerweise nicht um eine von dipl. med. F.___ getroffene Feststellung, sondern um seine Wiedergabe dessen, was im Abschlussbericht über die Eingliederungsmassnahmen (vorsteh end E.</w:t>
      </w:r>
    </w:p>
    <w:p>
      <w:r>
        <w:t>4.8) ausgeführt worden war (vorstehend E. 4.9). Nachdem die Beschwerde gegnerin schon mit Vorbescheid vom 1. April 2016 ( Urk. 9/101) die Aufhebung der Rente in Aussicht gestellt hatte und daraufhin seitens der Beschwerdeführerin Eingliederungsmassnahmen angemahnt wurden und durch die Beschwerde geg nerin - wenn auch erfolglos - veranlasst und durchgeführt wurden (vorstehend E. 4.8), ist kein Grund ersichtlich, weshalb die Beschwerdegegnerin die daran anschliessende Rentenaufhebung noch einmal mit einem Vorbescheid in Aussicht zu stellen gehabt hätte . 5.8</w:t>
      </w:r>
    </w:p>
    <w:p>
      <w:r>
        <w:t>Die Beschwerdegegnerin hat dem Einkommensvergleich ( Urk. 9/99) als Validen einkommen einen statistischen Tabellenlohnwert zugrunde gelegt , dies mit der Begründung, bei der Leistungszusprache</w:t>
      </w:r>
    </w:p>
    <w:p>
      <w:r>
        <w:t>im Jahr 2004 sei auf Arbeitgeberan ga ben von 2001 abgestellt worden, die « nun veraltet » seien (S. 1 Mitte).</w:t>
      </w:r>
    </w:p>
    <w:p>
      <w:r>
        <w:t>Für die Ermittlung des Valideneinkommens wird in der Regel am zuletzt erziel ten, nötigenfalls der Teuerung und der realen Einkommensentwicklung ange passten Verdienst angeknüpft, da es empirischer Erfahrung entspricht, dass die bisherige Tätigkeit ohne Gesundheitsschaden fortgesetzt worden wäre. Ausnah men müssen mit überwiegender Wahrscheinlichkeit erstellt s ein (BGE 139 V 28 E. 3.3.2; 135 V 58 E. 3.1; 134 V 322 E. 4.1).</w:t>
      </w:r>
    </w:p>
    <w:p>
      <w:r>
        <w:t>Die Beschwerdeführerin übte seit 1. September 1988 bis zum Eintritt des Gesund heitsschadens im Januar 2000 bei der gleichen Arbeitgeberin die gleiche Tätigkeit aus (vgl. Urk. 9/9). Es ist mit überwiegender Wahrscheinlichkeit davon auszu gehen, dass sie diese Tätigkeit im Gesundheitsfall weiterhin ausgeübt hätte. Für die gegenteilige Annahme gibt es weder in den Ausführungen der Beschwer de gegnerin noch sonst in den Akten irgendwelche Anhaltspunkte. Somit ist vom damals erzielten Einkommen auszugehen.</w:t>
      </w:r>
    </w:p>
    <w:p>
      <w:r>
        <w:t>Gemäss Feststellungsblatt vom 2 4. Mai 2004 ( Urk. 9/30) ging die Beschwerde gegnerin von einem Einkommen ohne Gesundheitsschaden von Fr. 58'500. im Jahr 2001 aus (S. 1 Mitte). Dieser Betrag ist der Nominallohnentwicklung vom Indexstand 2' 245 im Jahr 2001 auf den Indexstand 2'686 im Jahr 2015 (Bun desamt für Statistik, Tabelle T 39, Entwicklung der Nominallöhne, Frauen) anzu passen, was rund Fr. 69 ' 991 .--</w:t>
      </w:r>
    </w:p>
    <w:p>
      <w:r>
        <w:t>ergibt ( Fr. 58'500. -- : 2' 245 x 2'686). 5.9</w:t>
      </w:r>
    </w:p>
    <w:p>
      <w:r>
        <w:t>Zur Bestimmung des Invalideneinkommens ist die Beschwerdegegnerin vom ( tiefst möglichen ) Tabellenlohn im Jahr 2015 von rund Fr. 51'956.-- und der atte stierten Arbeitsfähigkeit in angepasster Tätigkeit von 80 % ausgegangen, womit rund Fr. 41'564.- ( Fr. 51’956.-- x 0.8) resultierten ( Urk. 9/99 S. 1).</w:t>
      </w:r>
    </w:p>
    <w:p>
      <w:r>
        <w:t>Dagegen wurde eingewendet, dies sei «unrealistisch hoch», und angesichts der gesundheitlich bedingten Einschränkungen sei ein Leidensabzug</w:t>
      </w:r>
    </w:p>
    <w:p>
      <w:r>
        <w:t>(von 25 % ) angezeigt ( Urk. 1 S. 12 Ziff. 4b). Gemäss gutachterlicher Beurteilung (vorstehend E. 4.4.4) sind Tätigkeiten ohne erhöhte emotionale Belastung, ohne Stressbelas tung, ohne erforderliche geistige Flexibilität, ohne vermehrte Kundenkontakte und ohne überdurchschnittliche Dauerbelastung leidensangepasst. Diese nicht erheblichen Einschränkungen rechtfertigen keinen Abzug vom Tabe llenlohn (vgl. vorstehend E. 1.7 ). 5.10</w:t>
      </w:r>
    </w:p>
    <w:p>
      <w:r>
        <w:t>Somit ist von einem Valideneinkommen von Fr. 69 ' 991 .-- (vorstehend E. 5.8) und einem Invalideneinkommen von Fr. 41'564.-- (vorstehend E.</w:t>
      </w:r>
    </w:p>
    <w:p>
      <w:r>
        <w:t>5.9) auszugehen, womit die Einkommenseinbusse Fr. 28 ' 427 .-- beträgt, was einen Invaliditätsgrad von 40.61 % und damit rund 4 1 % ergibt.</w:t>
      </w:r>
    </w:p>
    <w:p>
      <w:r>
        <w:t>Demnach hat die Beschwerdeführerin Anspruch auf eine Viertelsrente , dies ab dem Zeitpunkt der in der Verfügung vom 7. November 2017 vorgenommenen Leistungsanpassung, mithin ab 1. Januar 2018 .</w:t>
      </w:r>
    </w:p>
    <w:p>
      <w:r>
        <w:t>In diesem Sinn ist die gegen die genannte Verfügung erhobene Beschwerde gut zuheissen. 6. 6.1</w:t>
      </w:r>
    </w:p>
    <w:p>
      <w:r>
        <w:t>Die Verfahrenskosten gemäss Art. 69 Abs. 1 bis IVG sind ermessensweise auf Fr. 900.-- festzusetzen und ausgangsgemäss der Beschwerdegegnerin aufzuer legen . 6.2</w:t>
      </w:r>
    </w:p>
    <w:p>
      <w:r>
        <w:t>Der obsiegenden und anwaltlich vertretenen Beschwerdeführerin steht eine Pro zessentschädigung zu, die nach Einsicht in die Aufwandzusammenstellung vom 6. Juli 2018 ( Urk. 11/2) und beim praxisgemässen Stundenansatz von Fr. 2 2 0. (zuzüglich Mehrwertsteuer) auf Fr. 2'786.20 (inklusive Barauslagen und Mehrwertsteuer) festzulegen und der Beschwerdegegnerin aufzuerlegen ist. Das Gericht erkennt: 1.</w:t>
      </w:r>
    </w:p>
    <w:p>
      <w:r>
        <w:t>Die Beschwerde wird in dem Sinne gutgeheissen, dass die Verfügung vom 7. November 2107 mit der Feststellung aufgehoben wird, dass die Beschwerdeführerin ab 1. Januar 2018 Anspruch auf eine Viertelsrente hat.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2’786 .20 (inkl. Barauslagen und MWSt ) zu bezahlen. 4.</w:t>
      </w:r>
    </w:p>
    <w:p>
      <w:r>
        <w:t>Zustellung gegen Empfangsschein an: - Rechtsanwältin Stephanie Schwarz - Sozialversicherungsanstalt des Kantons Zürich, IV-Stelle, unter Beilage einer Kopie von Urk. 11/1-2 -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