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IV.2017.01076 vom 8. März 2019</w:t>
      </w:r>
    </w:p>
    <w:p>
      <w:r>
        <w:t>ZH Sozialversicherungsgericht, 2019-03-08, DE</w:t>
      </w:r>
    </w:p>
    <w:p>
      <w:r>
        <w:rPr>
          <w:b/>
        </w:rPr>
        <w:t xml:space="preserve">Quelle: </w:t>
      </w:r>
      <w:r>
        <w:t>https://mcp.opencaselaw.ch/entscheid/zh_sozialversicherungsgericht_IV.2017.01076</w:t>
      </w:r>
    </w:p>
    <w:p>
      <w:r>
        <w:t>FR: ZH_SOZIALVERSICHERUNGSGERICHT IV.2017.01076 du 8 mars 2019</w:t>
      </w:r>
    </w:p>
    <w:p>
      <w:r>
        <w:t>IT: ZH_SOZIALVERSICHERUNGSGERICHT IV.2017.01076 del 8 marzo 2019</w:t>
      </w:r>
    </w:p>
    <w:p>
      <w:pPr>
        <w:pStyle w:val="Heading2"/>
      </w:pPr>
      <w:r>
        <w:t>Erwägungen</w:t>
      </w:r>
    </w:p>
    <w:p>
      <w:r>
        <w:rPr>
          <w:b/>
        </w:rPr>
        <w:t>E. 1</w:t>
      </w:r>
    </w:p>
    <w:p>
      <w:r>
        <w:t>X.___ , geboren 1958, arbeitet stundenweise als Zeitungsverträgerin</w:t>
      </w:r>
    </w:p>
    <w:p>
      <w:r>
        <w:t>sowie als Mitarbeiterin in einem Pferdestall ( Urk. 9/3 Ziff. 5.4). Am 1 5. November 2015 meldete sie sich bei der Invalidenversicherung an ( Urk. 9/3). Die Sozialversiche rungsanstalt des Kantons Zürich, IV-Stelle, tätigte medizinische und erwerbliche Abklärungen und liess die Versicherte polydisziplin är begutachten (Gutachten der Y.___ AG vo m 2 1. Oktober 2016; Urk. 9/26). Sodann veranlasste sie eine Haushaltabklärung (Bericht vom 1 5. Dezember 2016; Urk. 9/33). Nach durchge führtem Vorbescheidverfahren</w:t>
      </w:r>
    </w:p>
    <w:p>
      <w:r>
        <w:t>( Urk. 9/35; Urk. 9/36; Urk. 9/39) verneinte sie mit Verfügung vom 4. September 2017 einen Anspruch der Versicherten auf IV-Leistungen ( Urk. 9/42 = Urk. 2).</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Die Versicherte erhob am 5. Oktober 2017 Beschwerde gegen die Verfügung vom 4. September 2017 ( Urk. 2) und beantragte deren Aufhebung sowie die Zusprache einer Rente ( Urk. 1 S. 2). Mit Beschwerdeantwort vom 8. November 2017 ( Urk. 8) beantragte die Beschwerdegegnerin die Abweisung der Beschwerde, was der Be schwerdeführerin am 7. Dezember 2017 zur Kenntnis gebracht wurde ( Urk. 12). Mit Verfügung vom 1 1. Januar 2019 ( Urk. 13) wurde den Parteien das rechtliche Gehör zur Frage des Wartejahrs und der Beschwerdeführerin Gelegenheit zum Rückzug der Beschwerde gewährt. Diese nahm mit Eingabe vom 2 2. Januar 2019 Stellung und hielt an ihrer Beschwerde fest ( Urk. 15). Die Beschwerdegegnerin verzichtete auf Stellungnahme ( Urk. 16). Diese Rechtsschriften wurden den Par teien am 1 9. Februar 2019 zugestellt ( Urk. 17). Das Gericht zieht in Erwägung: 1.</w:t>
      </w:r>
    </w:p>
    <w:p>
      <w:r>
        <w:rPr>
          <w:b/>
        </w:rPr>
        <w:t>E. 2.1</w:t>
      </w:r>
    </w:p>
    <w:p>
      <w:r>
        <w:t>Die Beschwerdegegnerin begründete den angefochtenen Entscheid ( Urk. 2) wie folgt: Ihre Abklärungen hätten ergeben, dass die Beschwerdeführerin bei der Ver sorgung des Haushalts nicht eingeschränkt sei. Eine Invalidität im Sinne des Ge setzes sei nicht ausgewiesen. Bei guter Gesundheit wäre sie zu 50 % arbeitstätig; sie habe mitgeteilt, dass sie nicht mehr (in einem höheren Pensum) arbeiten wolle. Davon sei auszugehen. Sie sei immer als Hilfsarbeiterin tätig gewesen, weshalb die diesbezüglichen Lohndaten anzuwenden seien. Es bestehe eine Arbeitsfähig keit von 70 % und es sei aufgrund des Belastungsprofils von einer Tätigkeit im geschützten Rahmen auszugehen. Damit bestehe in Anwendung der gemischten Methode ein Gesamtinvaliditätsgrad von 11 % (S. 1-2).</w:t>
      </w:r>
    </w:p>
    <w:p>
      <w:r>
        <w:rPr>
          <w:b/>
        </w:rPr>
        <w:t>E. 2.2</w:t>
      </w:r>
    </w:p>
    <w:p>
      <w:r>
        <w:t>Die Beschwerdeführerin wandte dagegen ein ( Urk. 1), sie leide an einer mittleren kognitiven Funktionseinschränkung und grenzwertiger Intelligenz und stosse im mer mehr an ihre Grenzen. Das von der Beschwerdegegnerin eingeholte polydis ziplinäre Gutachten zeige eine Arbeitsfähigkeit von 70 % in einer angepassten Tätigkeit; aus neurologischer Sicht werde sie seit Beginn der Ausbildung auf zu 30 % arbeitsunfähig eingeschätzt. Sie könne nur einfache Tätigkeiten in ge schütztem Rahmen ausführen (S. 3 f.). Das Validen- und Invalideneinkommen sei aus näher dargelegten Gründen anders zu berechnen, und sie sei im Gesundheits fall zu 80 bis 100 % erwerbstätig. Dementsprechend habe sie Anspruch auf eine Rente (S. 4 ff.).</w:t>
      </w:r>
    </w:p>
    <w:p>
      <w:r>
        <w:t>Im Rahmen der Gewährung des rechtlichen Gehörs hielt die Beschwerdeführerin fest ( Urk. 15), die Arbeitsfähigkeit von 70 % beziehe sich nicht auf eine Tätigkeit im freien Markt, sondern auf eine Hilfstätigkeit. Auch die Beschwerdegegnerin gehe von einer Arbeitsfähigkeit lediglich im geschützten Rahmen aus. Die Be schwerdeführerin habe erstaunlicherweise immer wieder im freien Markt eine Ni schentätigkeit gefunden, anhand des dabei erzielten Einkommens sei jedoch nicht von einer nach üblichen Ansätzen entlöhnten Tätigkeit auszugehen. Es sei für die Berechnung der Erwerbsunfähigkeit von Frühinvalidität auszugehen.</w:t>
      </w:r>
    </w:p>
    <w:p>
      <w:r>
        <w:rPr>
          <w:b/>
        </w:rPr>
        <w:t>E. 2.3</w:t>
      </w:r>
    </w:p>
    <w:p>
      <w:r>
        <w:t>) .</w:t>
      </w:r>
    </w:p>
    <w:p>
      <w:r>
        <w:t>Gemäss IK-Auszug verdiente sie in der Folge jeweils etwa Fr. 25'000.-- jährlich und übte damit wohl nur ein 50%-Pensum aus. Dass dies auf gesundheitliche Gründe zurückzuführen war, ist jedoch nicht mit dem notwendigen Beweisgrad der überwiegenden Wahrscheinlichkeit erstellt. Eine Arbeitsunfähigkeit wurde denn zeitnah auch gar nie attestiert. Eine Qualifikation von 50 % Erwerbs- und 50 % Haushalttätigkeit ist deshalb allenfalls auf grund eine r freiwillige Reduktion des Pensums, wie dies die Beschwerdeführerin anlässlich der Haushaltabklärung geltend machte (vgl. Urk. 9/33 S. 5 Ziff.</w:t>
      </w:r>
    </w:p>
    <w:p>
      <w:r>
        <w:rPr>
          <w:b/>
        </w:rPr>
        <w:t>E. 2.5</w:t>
      </w:r>
    </w:p>
    <w:p>
      <w:r>
        <w:t>), anzunehmen. Wie es sich damit verhält, kann jedoch aus den nachfolgenden Gründen offen bleiben , da ohnehin kein Rentenanspruch resultiert . 4. 6</w:t>
      </w:r>
    </w:p>
    <w:p>
      <w:r>
        <w:t>Sowohl bei Annahme eines vollen wie eines 50%igen Pensums ist zu berücksich tigen, dass gemäss Gutachten seit praktisch jeher , mindestens jedoch seit 2010, eine Arbeitsfähigkeit von 70 % in jeder geeigneten Tätigkeit besteht. Damit ist die Wartezeit gemäss</w:t>
      </w:r>
    </w:p>
    <w:p>
      <w:r>
        <w:t>Art. 28 Abs. 1 lit . a IVG , welche eine durchschnittliche min destens 40%ige Arbeitsunfähigkeit während eines Jahres verlangt, bislang nicht erfüllt.</w:t>
      </w:r>
    </w:p>
    <w:p>
      <w:r>
        <w:t>Selbst wenn das Wartejahr erfolgreich bestanden wäre, wäre jedoch die kumula tive Voraussetzung von Art. 28 Abs. 1 lit . c IVG nicht erfüllt , denn bei Annahme einer 50%igen Erwerbstätigk eit bestand bei einer Arbeitsfähigkeit von 70 %</w:t>
      </w:r>
    </w:p>
    <w:p>
      <w:r>
        <w:t>im Erwerbsbereich nie eine Einschränkung. Bei dieser Konstellation müsste im Haus halt eine sehr hohe Arbeitsunfähigkeit bestehen, damit ein rentenbegründender Invaliditätsgrad entstehen könnte . Eine solche Einschränkung ist jedoch klar zu verneinen.</w:t>
      </w:r>
    </w:p>
    <w:p>
      <w:r>
        <w:t>Ginge man von einer vollen Erwerbstätigkeit aus, so resultiert bei einer Arbeits unfähigkeit von 30 % auch in der angestammten Tätigkeit ein rentenausschlies sender Invaliditätsgrad von 30 % (Prozentvergleich; Urteil des Bundesgerichts 8C_131/2011 vom 5. Juli 2011 E. 10.2.1 mit Hinweis auf BGE 114 V 310 E. 3a). 4. 7</w:t>
      </w:r>
    </w:p>
    <w:p>
      <w:r>
        <w:t>Somit besteht keine Invalidität im Rechtssinn ; die gesetzlichen Voraussetzungen von Art. 28 Abs. 1 lit . b und c sind nicht erfüllt . Ein Einkommensvergleich ent fällt . Dass die Beschwerdeführerin invaliditätsbedingt - was für die Bemessung der Invalidität als Frühinvalide gemäss Art. 26 Abs. 1 der Verordnung über die Invalidenversicherung (IVV) alleine massgebend ist - keine zureichenden beruf lichen Kenntnisse erwerben konnte , ist im Übrigen weder durch zeitnah ergan gene Akten belegt noch aufgrund des Gesagten überwiegend wahrscheinlich.</w:t>
      </w:r>
    </w:p>
    <w:p>
      <w:r>
        <w:t>Die Beschwerdegegnerin hat einen Anspruch der Beschwerdeführerin</w:t>
      </w:r>
    </w:p>
    <w:p>
      <w:r>
        <w:t>auf eine Rente im Ergebnis zu Recht verneint. Dies führt zur Abweisung der Beschwerde. 5.</w:t>
      </w:r>
    </w:p>
    <w:p>
      <w:r>
        <w:t>Die Gerichtskosten nach Art. 69 Abs. 1 bis IVG sind auf Fr. 6 00.-- anzusetzen und ausgangsgemäss der unterliegenden Beschwerdeführerin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 gestellt. 3.</w:t>
      </w:r>
    </w:p>
    <w:p>
      <w:r>
        <w:t>Zustellung gegen Empfangsschein an: - Rechtsdienst Inclusion Handicap - Sozialversicherungsanstalt des Kantons Zürich, IV-Stelle, unter Beilage einer Kopie von Urk.</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und Urk. 11/1-6 -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MosimannLienhard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