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IV.2017.01035 vom 6. März 2019</w:t>
      </w:r>
    </w:p>
    <w:p>
      <w:r>
        <w:t>ZH Sozialversicherungsgericht, 2019-03-06, DE</w:t>
      </w:r>
    </w:p>
    <w:p>
      <w:r>
        <w:rPr>
          <w:b/>
        </w:rPr>
        <w:t xml:space="preserve">Quelle: </w:t>
      </w:r>
      <w:r>
        <w:t>https://mcp.opencaselaw.ch/entscheid/zh_sozialversicherungsgericht_IV.2017.01035</w:t>
      </w:r>
    </w:p>
    <w:p>
      <w:r>
        <w:t>FR: ZH_SOZIALVERSICHERUNGSGERICHT IV.2017.01035 du 6 mars 2019</w:t>
      </w:r>
    </w:p>
    <w:p>
      <w:r>
        <w:t>IT: ZH_SOZIALVERSICHERUNGSGERICHT IV.2017.01035 del 6 marzo 2019</w:t>
      </w:r>
    </w:p>
    <w:p>
      <w:pPr>
        <w:pStyle w:val="Heading2"/>
      </w:pPr>
      <w:r>
        <w:t>Erwägungen</w:t>
      </w:r>
    </w:p>
    <w:p>
      <w:r>
        <w:rPr>
          <w:b/>
        </w:rPr>
        <w:t>E. 1.1</w:t>
      </w:r>
    </w:p>
    <w:p>
      <w:r>
        <w:t>Der Anspruch auf eine Rente setzt eine Invalidität voraus (Art. 8 Abs. 1 des Bun desgesetzes über den Allgemeinen Teil des Sozialversicherungsrechts;</w:t>
      </w:r>
    </w:p>
    <w:p>
      <w:r>
        <w:t>ATSG) . 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 Art. 28 Abs.</w:t>
      </w:r>
    </w:p>
    <w:p>
      <w:r>
        <w:rPr>
          <w:b/>
        </w:rPr>
        <w:t>E. 1.2</w:t>
      </w:r>
    </w:p>
    <w:p>
      <w:r>
        <w:t>Die Beschwerdegegnerin hat gestützt auf die durchgeführten Abklärungen den Rentenanspruch der Beschwerdeführerin einer Revision unterzogen. In der ange fochtenen Verfügung vom 1 7. August 2017 führte die Beschwerdegegnerin aus, vor der in Aussicht gestellten Rentenaufhebung seien Eingliederungsmassnah men eingeleitet und hernach abgebrochen worden. Zum Abbruch habe geführt, dass die Beschwerdeführerin sich aus gesundheitlichen Gründen ausserstande gesehen habe , einer Erwerbstätigkeit nachzugehen, obschon die vorhandene Rest arbeitsfähigkeit eine Verwertung auf dem ersten Arbeitsmarkt erlaube. Die medi zinischen Akten seien nach Abbruch der Massnahmen aktualisiert worden. Im Vergleich zur Verfügung vom 1 6. ( richtig : 18.) März 2016 habe sich keine Ver änderung gezeigt. Somit sei am seinerzeitigen Entscheid, das heisst an der Ein stellung der Rente nach vorhergehender befristeter Erhöhung festzuhalten (Urk. 2 S. 1 f.).</w:t>
      </w:r>
    </w:p>
    <w:p>
      <w:r>
        <w:rPr>
          <w:b/>
        </w:rPr>
        <w:t>E. 1.3</w:t>
      </w:r>
    </w:p>
    <w:p>
      <w:r>
        <w:t>Die Beschwerdeführerin macht geltend, aufgrund des Alters von über 55 Jahren und der Rentenbez ugsdauer von mehr als 15 Jahren habe die Beschwerdegegnerin die Eingliederungsfähigkeit geprüft. Gemäss den Feststellungen der Berater der Eingliederungsi nsti tution Beratungsbuffet sei die Kooperation einwandfrei gewe sen. Selbst den Fachleuten sei es nicht möglich gewesen, ein realistisches Tätig keitsfeld zu definieren und ein entsprechendes Arbeitstraining durchzuführen. Fest stehe, dass eine Verletzung der Mitwirkungspflicht nicht vorliege. Vielmehr habe es die Beschwerdegegnerin zu vertreten, dass keine einzige in Frage kom mende Tätigkeit konkret aufgezeigt worden sei. Von einer rechtsgenüglichen Durchführung der Eingliederungsmassnahme könne nicht gesprochen werden. M it der Niederlegung des Mandates durch das Beratungsbuffet habe sich gezeigt, dass aufgrund der gesamten Umstände eine Eingliederung in den ersten Arbeits markt nicht realistisch sei. Selbst den Fachleuten sei es nicht gelungen, eine Ein gliederung auf dem Arbeitsmarkt zu ermöglichen (Urk. 1 S. 6 ff. Ziff. 1).</w:t>
      </w:r>
    </w:p>
    <w:p>
      <w:r>
        <w:t>Zu beachten sei sodann, dass sich die Beschwerdegegnerin mit den Haupteinwän den nicht ausreichend auseinandergesetzt habe. Die ungenügende Begründung des angefochtenen Entscheides verletz e den Anspruch auf rechtliches Gehör. Die Verletzung des Gehörsanspruchs sei vorliegend als schwerwiegend einzustufen. Es rechtfertige sich somit, die angefochtene Verfügung bereits aus formellen Gründen auszuheben (Urk. 1 S. 18 lit . bb ).</w:t>
      </w:r>
    </w:p>
    <w:p>
      <w:r>
        <w:rPr>
          <w:b/>
        </w:rPr>
        <w:t>E. 1.4</w:t>
      </w:r>
    </w:p>
    <w:p>
      <w:r>
        <w:t>In der Folge richtete die IV-Stelle der Versicherten weiterhin die ganze Rente aus (Urk. 7/234 ff.) und</w:t>
      </w:r>
    </w:p>
    <w:p>
      <w:r>
        <w:t>leitete Eingliederung smassnahmen ein. Namentlich veran lasste sie bei der Institution Beratungsbuffet in A.___</w:t>
      </w:r>
    </w:p>
    <w:p>
      <w:r>
        <w:t>ein Assessment mit nachfolgendem Arbeitstraining</w:t>
      </w:r>
    </w:p>
    <w:p>
      <w:r>
        <w:t>(vgl. Urk. 7/ 246 f f.). Per 1 7. März 2017 erfolgte der formelle Abbruch der Massnahme (Urk. 7/251). Nachdem die IV-Stelle zwei Verlaufsberichte bei den behandelnden Ärzten Dr. med. B.___ , Facharzt FMH für Psychiatrie und Psychotherapie, und Dr. med. C.___ , Fach arzt FMH für Allgemeine Medizin, eingeholt hatte (Urk. 7/255-256) , erliess sie am 2 6. Mai 2017 einen Vorbescheid, mit dem sie wiederum zunächst die Ausrichtung einer halben Rente per 1. Dezember 2012 (ausbezahlt als ganze Rente aufgrund der Verwitwung) und hernach die Aufhebung der Rente auf das Ende des auf die Zustellung des Entscheides fo lgenden Monats in Aussicht stellte (Urk. 7/258). Einwände gegen den vorgesehenen Entscheid erhob die Versicherte am 2 8. Juni 2017 (Urk. 7/261). Mit Verfügung vom 1 7. August 2017 entschied die IV-Stelle im Sinne des Vorbescheides (Urk. 2 = Urk. 7/264). Da die Verfügung dem Rechts vertreter der Beschwerdeführerin gemäss Eingangsvermerk am 2 1. August 2017 zugegangen war ( Urk.</w:t>
      </w:r>
    </w:p>
    <w:p>
      <w:r>
        <w:rPr>
          <w:b/>
        </w:rPr>
        <w:t>E. 2</w:t>
      </w:r>
    </w:p>
    <w:p>
      <w:r>
        <w:t>.1</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w:t>
      </w:r>
    </w:p>
    <w:p>
      <w:r>
        <w:rPr>
          <w:b/>
        </w:rPr>
        <w:t>E. 3</w:t>
      </w:r>
    </w:p>
    <w:p>
      <w:r>
        <w:t>.3.2</w:t>
      </w:r>
    </w:p>
    <w:p>
      <w:r>
        <w:t>Eine gesundheitliche Besserung mit der Folge einer höheren Restarbeitsfähigkeit attestierten die Z.___ -Experten im Gutachten vom 2 3. Juni 2014 ( Urk. 7/178) . Damals hatte die Beschwerdeführerin das</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