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IV.2017.00900 vom 27. Dezember 2017</w:t>
      </w:r>
    </w:p>
    <w:p>
      <w:r>
        <w:t>ZH Sozialversicherungsgericht, 2017-12-27, DE</w:t>
      </w:r>
    </w:p>
    <w:p>
      <w:r>
        <w:rPr>
          <w:b/>
        </w:rPr>
        <w:t xml:space="preserve">Quelle: </w:t>
      </w:r>
      <w:r>
        <w:t>https://mcp.opencaselaw.ch/entscheid/zh_sozialversicherungsgericht_IV.2017.00900</w:t>
      </w:r>
    </w:p>
    <w:p>
      <w:r>
        <w:t>FR: ZH_SOZIALVERSICHERUNGSGERICHT IV.2017.00900 du 27 décembre 2017</w:t>
      </w:r>
    </w:p>
    <w:p>
      <w:r>
        <w:t>IT: ZH_SOZIALVERSICHERUNGSGERICHT IV.2017.00900 del 27 dicembre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 lens daran hindert, ein rentenausschliessendes Erwerbseinkommen zu er 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 2.</w:t>
      </w:r>
    </w:p>
    <w:p>
      <w:r>
        <w:rPr>
          <w:b/>
        </w:rPr>
        <w:t>E. 2</w:t>
      </w:r>
    </w:p>
    <w:p>
      <w:r>
        <w:t>Dagegen erhob die Vertreterin des Versicherten am 5. September 2017 Be schwerde und beantragte, es sei auf das Leistungsbegehren einzutreten und ein umfassendes psychologisches und physiologisches Gutachten zu erstellen. Wei ter sei die unentgeltliche Prozessführung zu gewähren; unter Kostenfolge zu Lasten der Beschwerdegegnerin (Urk. 1 S. 2).</w:t>
      </w:r>
    </w:p>
    <w:p>
      <w:r>
        <w:t>Mit Beschwerdeantwort vom 16. Oktober 2017 beantragte die Beschwerde- gegne rin die Abweisung der Beschwerde (Urk. 6). Mit Verfügung vom 19. Oktober 2017 wurde dem Beschwerdeführer die unentgeltliche Pro zessführung be wil ligt und die Beschwerdeantwort zur Kenntnis gebracht (Urk. 8). Das Gericht zieht in Erwägung: 1.</w:t>
      </w:r>
    </w:p>
    <w:p>
      <w:r>
        <w:rPr>
          <w:b/>
        </w:rPr>
        <w:t>E. 2.1</w:t>
      </w:r>
    </w:p>
    <w:p>
      <w:r>
        <w:t>Die Beschwerdegegnerin begründete die angefochten Verfügung damit, dass dem Beschwerdeführer die bisherige Tätigkeit als Masseur aus gesundheitlichen Gründen weiterhin zumutbar wäre. Das fünfjährige Berufsverbot als Masseur sei ein IV-fremder Grund (Urk. 2). Auch sei im Rahmen des Verwaltungsverfahrens nie die Rede von einer psychischen Erkrankung gewesen; so sei auch im Rah men des Einwandverfahrens keine entsprechende Begründung eingereicht wor den, so dass der Beschwerdegegnerin keine Verletzung der Abklärungspflicht vorgeworden werden könne (Urk. 6).</w:t>
      </w:r>
    </w:p>
    <w:p>
      <w:r>
        <w:rPr>
          <w:b/>
        </w:rPr>
        <w:t>E. 2.2</w:t>
      </w:r>
    </w:p>
    <w:p>
      <w:r>
        <w:t>Demgegenüber machte die Vertreterin des Beschwerdeführers im Wesentlichen geltend, dass die Beschwerdegegnerin die Arbeitsfähigkeit des Beschwerdefüh rers nicht umfassend abgeklärt habe, insbesondere wäre sie verpflichtet gewe sen, bei Z.___, Psychiatrische Klinik A.___, sowie bei B.___, in C.___, Arztberichte einzuholen (Urk. 1 S. 4). 3. 3.1</w:t>
      </w:r>
    </w:p>
    <w:p>
      <w:r>
        <w:t>Vorliegend unbestritten ist, dass das ab dem 25. Juni 2017 geltende fünfjährige Berufsverbot für die Tätigkeit als Masseur IV-fremd ist (Urk. 1 S. 3). 3.2</w:t>
      </w:r>
    </w:p>
    <w:p>
      <w:r>
        <w:t>Im Rahmen der Berufsberatung der IV-Stelle (6. April 2017) gab der Beschwerde führer an, dass er auch abgesehen vom Berufsverbot nicht mehr als Masseur arbeiten wolle, da ihm dieser Beruf Angst mache. Er glaube nicht, dass er sich genügend abgrenzen könne. Er sei freiwillig in Therapie gewesen, zuerst bei Z.___ in der psychiatrischen Klinik A.___ und jetzt bei B.___ in C.___. Bei Frau Z.___ habe er sehr viel über sein Verhalten gelernt. Bei seinem aktuellen Therapeuten gehe er einmal pro Monat in Therapie, fühle sich aber nicht so gut aufgehoben. Zudem habe er noch ein Problem mit der Stimme, da er ein Lipom am Hals habe, wobei sich die Ärzte nicht einig seien, wie dieses zu behandeln sei und er sich naturärztlich selber versorge ( Spühlun gen , Urk. 7/207 S. 3).</w:t>
      </w:r>
    </w:p>
    <w:p>
      <w:r>
        <w:t>Aufgrund der Angaben im Rahmen der Berufsberatung der IV-Stelle ist ersicht lich, dass der Beschwerdeführer freiwillig psychotherapeutische Hilfe in An spruch genommen hat. Dabei schien es aber mehr um die Aufarbeitung des Verhaltens im Zusammenhang mit dem Delikt gegangen zu sein. Insbesondere machte der Beschwerdeführer nicht geltend, dass seine Arbeitsfähigkeit aus psy chischen Gründen eingeschränkt sei. Allein aus der Aussage, dass ihm die Tä tigkeit als Masseur Angst mache, kann nicht auf eine gesundheitlich bedingte Unzumutbarkeit der bisherigen Tätigkeit geschlossen werden. Weiter ist darauf hinzuweisen, dass der Beschwerdeführer auch keine entsprechenden Berichte der behandelnden Psychotherapeuten eingereicht hat. Dass sich das Lipom auf die Arbeitsfähigkeit als Masseur auswirkt, machte der Beschwerdeführer nicht geltend. 3.3</w:t>
      </w:r>
    </w:p>
    <w:p>
      <w:r>
        <w:t>Auch wenn der erstinstanzliche Sozialversicherungsprozess vom Unter- suchungs grundsatz beherrscht ist (Art. 61 lit . c ATSG) und das Gericht von Amtes wegen für die richtige und vollständige Abklärung des rechtserheblichen Sachverhaltes zu sorgen hat, gilt dieser Grundsatz indessen nicht uneingeschränkt; er findet sein Korrelat in den Mitwirkungspflichten der Parteien (BGE 125 V 193 E. 2, 122 V 157 E. 1a, vgl. BGE 130 I 180 E. 3.2). 3.4</w:t>
      </w:r>
    </w:p>
    <w:p>
      <w:r>
        <w:t>Bei dieser Sachlage ist das Vorgehen der Beschwerdegegnerin, auf weitere Abklä rungen zu verzichten, nicht zu beanstanden. Insbesondere wäre es dem Beschwerdeführer im Rahmen seiner Mitwirkungspflicht zuzumuten gewesen, die entsprechenden Arztberichte einzureichen; Anhaltspunkte für eine Ein schränkung der Arbeitsfähigkeit (abgesehen von der Sehproblematik) bestehen nicht. Eine Verletzung der Abklärungspflicht liegt jedenfalls nicht vor. 3.5</w:t>
      </w:r>
    </w:p>
    <w:p>
      <w:r>
        <w:t>Anzufügen bleibt, dass das Berufsausübungsverbot fünf Jahre dauert, hernach kann der Beschwerdeführer diese Tätigkeit wieder ausüben. Es ist nicht Sache der Invalidenversicherung, für diese Phase vom Beschwerdeführer verschuldeter Unmöglichkeit der Berufsausübung mittels kostspieliger Massnahmen neue Berufszweige zu ergründen und den Beschwerdeführer entsprechend umzuschulen. Dies bei offenkundig unverändertem Gesundheitszustand.</w:t>
      </w:r>
    </w:p>
    <w:p>
      <w:r>
        <w:t>Zusammenfassend führt dies in Abweisung der Beschwerde zur Bestätigung der angefochtenen Verfügung. 4.</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dem Beschwerdeführer aufzuerlegen, infolge Bewilligung der unentgeltlichen Prozessführung jedoch einstweilen auf die Ge richtskasse zu nehmen.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GräubSchetty</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