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IV.2017.00841 vom 17. April 2019</w:t>
      </w:r>
    </w:p>
    <w:p>
      <w:r>
        <w:t>ZH Sozialversicherungsgericht, 2019-04-17, DE</w:t>
      </w:r>
    </w:p>
    <w:p>
      <w:r>
        <w:rPr>
          <w:b/>
        </w:rPr>
        <w:t xml:space="preserve">Quelle: </w:t>
      </w:r>
      <w:r>
        <w:t>https://mcp.opencaselaw.ch/entscheid/zh_sozialversicherungsgericht_IV.2017.00841</w:t>
      </w:r>
    </w:p>
    <w:p>
      <w:r>
        <w:t>FR: ZH_SOZIALVERSICHERUNGSGERICHT IV.2017.00841 du 17 avril 2019</w:t>
      </w:r>
    </w:p>
    <w:p>
      <w:r>
        <w:t>IT: ZH_SOZIALVERSICHERUNGSGERICHT IV.2017.00841 del 17 aprile 2019</w:t>
      </w:r>
    </w:p>
    <w:p>
      <w:pPr>
        <w:pStyle w:val="Heading2"/>
      </w:pPr>
      <w:r>
        <w:t>Erwägungen</w:t>
      </w:r>
    </w:p>
    <w:p>
      <w:r>
        <w:rPr>
          <w:b/>
        </w:rPr>
        <w:t>E. 1.1</w:t>
      </w:r>
    </w:p>
    <w:p>
      <w:r>
        <w:t>Die massgeblichen rechtlichen Grundlagen zum Invaliditätsbegriff, zum Renten anspruch, zur Invaliditätsbemessung mittels Einkommensvergleich und zum Beweiswert eines medizinischen Gutachtens wurden bereits in den Erwägungen 1.1-6 des U rteil s des Sozialver sicherungsgerichts IV.2012 . 01159 vom 2</w:t>
      </w:r>
    </w:p>
    <w:p>
      <w:r>
        <w:rPr>
          <w:b/>
        </w:rPr>
        <w:t>E. 1.2</w:t>
      </w:r>
    </w:p>
    <w:p>
      <w:r>
        <w:t>Zu ergänzen ist, dass gemäss Art. 17 des Bundesgesetz es über den Allgemeinen Teil des Sozialversicherungsrechts (ATSG) Invalidenrenten dann, wenn</w:t>
      </w:r>
    </w:p>
    <w:p>
      <w:r>
        <w:t>s ich der Invaliditätsgrad einer Rentenbezügerin oder eines Rentenbezügers nach der Leis tungszusprechung erheblich ändert , von Amtes wegen oder auf Gesuch hin für die Zukunft entsprechend erhöh t, herabgesetzt oder aufgehoben werden . Anlass zur Rentenrevision im Sinne von Art. 17 ATSG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 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 kungen eines im Wesentlichen unverändert gebliebenen Gesundheitszustandes a uf die Arbeitsfähigkeit für sich allein genommen keinen Revisionsgrund im Sinne von Art. 17 Abs. 1 ATSG dar.</w:t>
      </w:r>
    </w:p>
    <w:p>
      <w:r>
        <w:t>Zeitlicher Referenzpunkt für die Prüfung einer anspruchserheblichen Änderung bildet die letzte rechtskräftige Verfügung, welche auf einer materiellen Prüfung des Rentenanspruchs mit rechtskonformer Sachverhaltsabklärung, Beweiswürdi gung und Durchführung eines Einkommensvergleichs (bei Anhaltspunkten für eine Änderung in den erwerblichen Auswirkungen des Gesundheitszustands) be ruht (BGE 133 V 108 E. 5.4) . Dabei braucht es sich nicht um eine formelle Ver fügung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2.</w:t>
      </w:r>
    </w:p>
    <w:p>
      <w:r>
        <w:t>2.1</w:t>
      </w:r>
    </w:p>
    <w:p>
      <w:r>
        <w:t>Die IV-Stelle begründet die revisionsweise Aufhebung der Dreiviertelsrente in der angefochtenen Verfügung sowie in der Beschwerdeantwort damit, der Gesund heits zustand des Beschwerdeführers habe sich verbessert. Aus dem Bericht der Rehaklinik D.___</w:t>
      </w:r>
    </w:p>
    <w:p>
      <w:r>
        <w:t>gehe hervor, dass eine komplexe medizinische Situation vorliege. Deshalb sei das polydisziplinäre Gutachten der E.___ vom 6. März 2017</w:t>
      </w:r>
    </w:p>
    <w:p>
      <w:r>
        <w:t>eingeholt worden. Gestützt darauf stehe fest, dass sich die Einschränkungen im linken Bein nicht wesentlich verändert hätten . Bereits im Januar 2015 sei der regionalärztliche Dienst davon ausgegangen, dass mittels eines Muskelaufbaus eine volle Arbeitsfähigkeit in einer angepassten Tätigkeit erreicht werd en könne. I m Dezember 2016 hätten die Gutachter der E.___</w:t>
      </w:r>
    </w:p>
    <w:p>
      <w:r>
        <w:t>eine aus reichend auf gebaute Muskulatur festgestellt. Ferner sei aus psychiatrischer Sicht eine Verbesserung eingetreten, so dass insgesamt von einem verbesserten Gesundheitszustand aus zugehen sei. Dabei sei es unerheblich, ob die gesundheitliche Besserung mit oder ohne Durchführung der im Schreiben vom 2 7. Januar 2015 unter Hinweis auf die Schadenminderungspflicht auferlegten Behandlung eingetreten sei. Im Übrigen bestünden deutliche Hinweise auf eine Aggravation. Der Beschwerdeführer könne aktuell eine körperlich leichte, überwiegend sitzende wechselbelastende Tätigkeit zu 100 % ausüben und dabei ein Jahreseinkommen von Fr. 66'872.65 erzielen. Ge messen am hypothetisch ohne Gesundheitsschaden verdie nten Einkommen von</w:t>
      </w:r>
    </w:p>
    <w:p>
      <w:r>
        <w:t>Fr. 66'852.40 resultierten eine Erwerbseinbusse von Fr. 20.25 sowie ein Invalidi tätsgrad von 0 % ( Urk. 2, Urk. 5).</w:t>
      </w:r>
    </w:p>
    <w:p>
      <w:r>
        <w:t>2.2</w:t>
      </w:r>
    </w:p>
    <w:p>
      <w:r>
        <w:t>Der Beschwerdeführer stellt sich demgegenüber auf den Standpunkt, sein Ge sund heitszustand habe s ich nicht wesentlich verbessert. D eshalb habe er weiter hin Anspruch auf eine Dreiviertelsr ente .</w:t>
      </w:r>
    </w:p>
    <w:p>
      <w:r>
        <w:t>Die IV-Stelle habe bereits in der Ver fügung vom 2. Oktober 2012 geltend gemacht, dass sich sein Gesundheitszustand im Juni 2008 wesentlich verbessert habe und er ab dann in einer behin de rungs angepassten Tätigkeit zu 100 %</w:t>
      </w:r>
    </w:p>
    <w:p>
      <w:r>
        <w:t>habe arbeiten können . Dies treffe nicht zu. Suva-Kreisarzt Dr. med . F.___ , Facharzt für Chirurgie , habe in seiner Stellungnahme vom 2 1. Juni</w:t>
      </w:r>
    </w:p>
    <w:p>
      <w:r>
        <w:t>und</w:t>
      </w:r>
    </w:p>
    <w:p>
      <w:r>
        <w:t>9. November 2011</w:t>
      </w:r>
    </w:p>
    <w:p>
      <w:r>
        <w:t>festgehalten, dass es zu keiner wesentlichen Verbesserung der Situation im linken Knie gekommen sei und ein definitiver medizinischer Endzustand vorliege; d ie von ihm am 2 5. Mai 2011 erhobenen Befunde im linken Knie stimmten mit denjenigen , die</w:t>
      </w:r>
    </w:p>
    <w:p>
      <w:r>
        <w:t>der rheumatologische Gut ac hter des Spitals C.___ im September 2011 erhoben habe,</w:t>
      </w:r>
    </w:p>
    <w:p>
      <w:r>
        <w:t>im W esentlichen ü berein. Laut dem Kreisarzt stelle die</w:t>
      </w:r>
    </w:p>
    <w:p>
      <w:r>
        <w:t>anders lautende Konklusion des Gutachters des C.___s hinsichtlich der zumutbaren Arbeitsfähigkeit lediglich eine andere Bewertung</w:t>
      </w:r>
    </w:p>
    <w:p>
      <w:r>
        <w:t>der prinzipiell gleich gebliebenen</w:t>
      </w:r>
    </w:p>
    <w:p>
      <w:r>
        <w:t>somatischen Befunde dar. Auch die Begutachtung in der E.___ habe ergeben, dass der somatische Befund klinisch und hinsichtlich der objektiven Funktionalität des linken Beins in etwa gleich geblieben sei. Bei der ursprünglichen Rentenzusprechung habe der psychi sche Gesundheitszustand keine Rolle gespielt. Damit sei entgegen der Auffassung der IV-Stelle keine namhafte Besserung des Gesundheitszustandes ausgewiesen . Eine bloss unterschiedliche Beurteilung eines im Wesentlichen unveränderten Sachverhalts bilde keinen Revisionsgrund ( Urk. 1 S. 19 ff.). Im Übrigen habe er in Nachachtung des Schreibens der IV-Stelle vom 2 7. Januar 2015 am 2</w:t>
      </w:r>
    </w:p>
    <w:p>
      <w:r>
        <w:rPr>
          <w:b/>
        </w:rPr>
        <w:t>E. 6</w:t>
      </w:r>
    </w:p>
    <w:p>
      <w:r>
        <w:t>/67-68) , sprach sie ihm mit Verfügung vom 2. Oktober 2012 ab 1. August 2004 eine bis 30. September 2008 befrist ete Dreiviertelsrente zu (Urk. 6 / 69, Urk. 6/74 ). Die vom Versicherten dagegen erhobene Beschwerde ( Urk. 6/77/3) hiess das Sozialversicherungsgericht mit Urteil IV.2012.01159 vom 2 8. Februar 2014 teilweise gut, hob die Verfügung vom 2. Oktober 2012 insofern auf, als dem Versicherten damit eine befristete Rente zugesprochen worden war, und stellte fest, dass er auch nach September 2008 Anspruch auf eine Drei viertelsrente</w:t>
      </w:r>
    </w:p>
    <w:p>
      <w:r>
        <w:t>habe ( Urk. 6/85).</w:t>
      </w:r>
    </w:p>
    <w:p>
      <w:r>
        <w:rPr>
          <w:b/>
        </w:rPr>
        <w:t>E. 8</w:t>
      </w:r>
    </w:p>
    <w:p>
      <w:r>
        <w:t>. Februar 2014 wiedergegeben ( Urk. 6/85/3-5 ). Diese Grundlagen haben sich seither nicht geändert, es</w:t>
      </w:r>
    </w:p>
    <w:p>
      <w:r>
        <w:t>kann d arauf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