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IV.2017.00341 vom 5. Juli 2018</w:t>
      </w:r>
    </w:p>
    <w:p>
      <w:r>
        <w:t>ZH Sozialversicherungsgericht, 2018-07-05, DE</w:t>
      </w:r>
    </w:p>
    <w:p>
      <w:r>
        <w:rPr>
          <w:b/>
        </w:rPr>
        <w:t xml:space="preserve">Quelle: </w:t>
      </w:r>
      <w:r>
        <w:t>https://mcp.opencaselaw.ch/entscheid/zh_sozialversicherungsgericht_IV.2017.00341</w:t>
      </w:r>
    </w:p>
    <w:p>
      <w:r>
        <w:t>FR: ZH_SOZIALVERSICHERUNGSGERICHT IV.2017.00341 du 5 juillet 2018</w:t>
      </w:r>
    </w:p>
    <w:p>
      <w:r>
        <w:t>IT: ZH_SOZIALVERSICHERUNGSGERICHT IV.2017.00341 del 5 luglio 2018</w:t>
      </w:r>
    </w:p>
    <w:p>
      <w:pPr>
        <w:pStyle w:val="Heading2"/>
      </w:pPr>
      <w:r>
        <w:t>Erwägungen</w:t>
      </w:r>
    </w:p>
    <w:p>
      <w:r>
        <w:rPr>
          <w:b/>
        </w:rPr>
        <w:t>E. 1</w:t>
      </w:r>
    </w:p>
    <w:p>
      <w:r>
        <w:t>Der 1967 geborene Y.___ war seit April 1991 bei der X.___ respektive deren Rechtsvorgängerinnen als Bauarbeiter angestellt und ent sprechend bei der X.___ Vorsorge, berufsvorsorgeversichert (Urk. 6/20, Urk. 6/121). Am 6. Februar 2014 (Eingangsdatum gemäss Aktenverzeichnis zu Urk. 6/1-145) meldete er sich bei der Sozialversicherungsanstalt des Kantons Zürich, IV-Stelle, unter Hinweis auf eine angeborene Lernschwäche zum Leis tungsbezug an (Urk. 6/4). Nach Vornahme erwerblicher und medizinischer Abklärungen, von Eingliederungsmassnahmen im Sinne einer Arbeitsvermittlung (Zielvereinbarung vom 23. September 2014, Urk. 6/47; Mitteilung vom 23. Okto ber 2014, Urk. 6/50) sowie durchgeführtem Vorbescheidverfahren (Urk. 6/120, Urk. 6/126) sprach die IV-Stelle Y.___ mit Verfügung vom 14. Februar 2017 (Urk. 2 [=Urk. 6/141]) eine ganze Rente der Invalidenversicherung zu.</w:t>
      </w:r>
    </w:p>
    <w:p>
      <w:r>
        <w:rPr>
          <w:b/>
        </w:rPr>
        <w:t>E. 1.1</w:t>
      </w:r>
    </w:p>
    <w:p>
      <w:r>
        <w:t>Zur Beschwerde ist berechtigt, wer durch den angefochtenen Entscheid berührt ist und ein schutzwürdiges Interesse an dessen Aufhebung oder Änderung hat. Die Rechtsprechung betrachtet als schutzwürdiges Interesse im Sinne von Art. 89 Abs. 1 lit . c des Bundesgesetzes über das Bundesgericht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 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 hung zur Streitsache stehe (BGE 133 V 188 E. 4.3.1, 239 E. 6.2; 131 II 361 E. 1.2; 131 V 298 E. 3; 130 V 560 E. 3.3).</w:t>
      </w:r>
    </w:p>
    <w:p>
      <w:r>
        <w:rPr>
          <w:b/>
        </w:rPr>
        <w:t>E. 1.2</w:t>
      </w:r>
    </w:p>
    <w:p>
      <w:r>
        <w:t>Besondere Bedeutung kommt dem Legitimationserfordernis zu, wenn nicht der Verfügungsadressat im materiellen Sinn, sondern ein Dritter (Drittbeschwerde führer) den Entscheid anficht (BGE 127 V 80 E. 3a/ aa mit Hinweisen). Hier haben die Legitimationsanforderungen die Funktion, die Popularbeschwerde auszu schliessen, weshalb bei der Bejahung der Beschwerdebefugnis von Drittbeschwer deführern Zurückhaltung geboten ist. Erforderlich ist ein spezifisches Rechts schutzinteresse, welches nur bejaht wird, wenn der Dritte ein unmittelbares und konkretes Interesse an der Aufhebung oder Änderung der Verfügung hat oder eine spezifische, besonders nahe Beziehung zur Streitsache für sich in Anspruch nehmen kann. Das allgemeine Interesse an der richtigen Auslegung und Durch setzung des Bundesrechts genügt nicht (BGE 133 V 188 E. 4.3.3).</w:t>
      </w:r>
    </w:p>
    <w:p>
      <w:r>
        <w:rPr>
          <w:b/>
        </w:rPr>
        <w:t>E. 1.3</w:t>
      </w:r>
    </w:p>
    <w:p>
      <w:r>
        <w:t>Die Vorsorgeeinrichtungen sind im Bereich der gesetzlichen Mindestvorsorge (Art. 6 des Bundesgesetzes über die berufliche Alters-, Hinterlassenen- und Inva lidenvorsorge [BVG]) an die Feststellungen der Organe der Invalidenversicherung gebunden, soweit die invalidenversicherungsrechtliche Betrachtungsweise auf grund einer gesamthaften Prüfung der Akten nicht als offensichtlich unhaltbar erscheint. Die Bindungswirkung entfällt, wenn die Vorsorgeeinrichtung nicht (spätestens) ins Vorbescheidverfahren ( aArt . 73bis IVV; seit 1. Juli 2006: Art. 73ter der Verordnung über die Invalidenversicherung [IVV]) einbezogen und ihr die Rentenverfügung formgültig eröffnet wurde (Urteil des Bundesgerichts 9C_81/2010 vom 16. Juni 2010 E. 3.1, mit Hinweisen).</w:t>
      </w:r>
    </w:p>
    <w:p>
      <w:r>
        <w:rPr>
          <w:b/>
        </w:rPr>
        <w:t>E. 2</w:t>
      </w:r>
    </w:p>
    <w:p>
      <w:r>
        <w:t>Zu prüfen ist vorab, ob die angefochtene Verfügung vom 14. Februar 2017 (Urk. 2) eine Bindungswirkung für die Beschwerdeführerin entfaltet, dieser damit ein schützenswertes Interesse an der Aufhebung oder Änderung derselben zukommt und daher beschwerdelegitimiert ist.</w:t>
      </w:r>
    </w:p>
    <w:p>
      <w:r>
        <w:t>Die Beschwerdeführerin wurde in das Vorbescheidverfahren einbezogen (Urk. 6/120 und Urk. 6/126) und ihr wurde der Rentenentscheid eröffnet (Urk. 6/144). Die Verbindlichkeitswirkung erstreckt sich nur auf diejenigen Fest stellungen und Beurteilungen im IV-Verfahren, welche dort für die Festlegung des Anspruchs auf eine Rente der Invalidenversicherung entscheidend waren und über die demnach effektiv zu befinden war. Die Anmeldung des Versicherten bei der Beschwerdegegnerin erfolgte mit Eingang am 6. Februar 2014. Feststellungen und Beurteilungen der Arbeits- oder Erwerbsfähigkeit des Versicherten vor die sem Zeitpunkt sind daher grundsätzlich für die Festlegung des Leistungsan spruchs in der Invalidenversicherung nicht von Belang. Entgegen der Ansicht der Beschwerdeführerin hatte die Beschwerdegegnerin demnach nicht festzustellen, ob und wenn ja in welchem Umfang der Versicherte seit dem 1. April 1991 erwerbsunfähig war. Die Beschwerdegegnerin stützte ihre rentenzusprechende Verfügung – soweit ersichtlich (vgl. nachfolgend E. 6) – zumindest teilweise auf eine leichte (angeborene) Intelligenzminderung des Versicherten, gleichzeitig hielt sie aber fest, dass das gesundheitsschädigende Ereignis, welches das Warte jahr eröffnete, im September 2013 eintrat (Urk. 2 S. 3) und die Anmeldung am 6. Februar 2014 nicht verspätet erfolgt ist (Urk. 6/118/6). Aufgrund dieser Bin dungswirkung kommt der Beschwerdeführerin eine Beschwerdelegitimation zu und auf ihre Beschwerde ist einzutreten.</w:t>
      </w:r>
    </w:p>
    <w:p>
      <w:r>
        <w:rPr>
          <w:b/>
        </w:rPr>
        <w:t>E. 3.1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3.2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3.3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3.4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4.</w:t>
      </w:r>
    </w:p>
    <w:p>
      <w:r>
        <w:t>4.1</w:t>
      </w:r>
    </w:p>
    <w:p>
      <w:r>
        <w:t>Die Beschwerdegegnerin begründete die angefochtene, leistungszusprechende Verfügung vom 14. Februar 2017 (Urk. 2) damit, dass der Versicherte seit Sep tember 2013 in seiner Erwerbsfähigkeit eingeschränkt sei und auf dem ersten Arbeitsmarkt eine Arbeitsunfähigkeit von 100 % bestehe. Aus medizinischer Sicht sei eine Tätigkeit in einem Nischenarbeitsplatz weiterhin im bisherigen Rah men denkbar. Eine Eingliederung sei aber nicht möglich gewesen. 4.2</w:t>
      </w:r>
    </w:p>
    <w:p>
      <w:r>
        <w:t>Die Beschwerdeführerin machte demgegenüber im Wesentlichen geltend, die Erwerbseinkünfte des Versicherten hätten seit seiner Anstellung 1991 bei der X.___ (respektive deren Vorgängerinnen) nicht seiner tatsächlichen Arbeitsleistung entsprochen, sondern es sei von Beginn weg von einer 70%igen Erwerbsunfähigkeit auszugehen. Seine Leistungen würden auf dem ersten Arbeitsmarkt lediglich einem Gegenwert von etwa Fr. 1’000.-- bis Fr. 1'500.-- entsprechen. Den medizinischen Sachverhalt habe die Beschwerdegegnerin ungenügend abgeklärt. Ausserdem sei die Invaliditätsbemessung inkorrekt erfolgt, da kein Soziallohn berücksichtigt worden sei. 5. 5.1</w:t>
      </w:r>
    </w:p>
    <w:p>
      <w:r>
        <w:t>Dr. med. Z.___, Facharzt Allgemeine Innere Medizin FMH, A.___, hielt in seinem Bericht vom 13. November 2013 (Urk. 6/6/1-2) zuhanden der Mutuel Krankenversicherung als Diagnose mit Auswirkung auf die Arbeitsfähigkeit einen Status nach Teilmeniskektomie und als Diagnose ohne Auswirkung auf die Arbeitsfähigkeit eine seit September 2013 bestehende Depression fest. Seit Juni 2013 seien bei Belastung vermehrt Schmerzen im linken Knie aufgetreten. Der Versicherte sei ab dem 4. September 2013 bis auf weiteres zu 100 % arbeitsunfähig. 5.2</w:t>
      </w:r>
    </w:p>
    <w:p>
      <w:r>
        <w:t>In seinem Bericht vom 18. März 2014 (Urk. 6/19) n annte</w:t>
      </w:r>
    </w:p>
    <w:p>
      <w:r>
        <w:t>Dr. med. B.___ , Facharzt Psychiatrie- und Psychotherapie, A.___ , als Diagnosen eine akute Belastungsstörung (ICD 10 F43.0) und als Differentialdiagnose eine depressive Störung, Besonderheiten in der Persönlichkeit, Kulturschock und Heimweh. Ausserdem äusserte er den Verdacht auf eine Sprachstörung und/oder eine Störung des Sprachverständnisses am ehesten im Rahmen einer frühen Ent wicklungsverzögerung. Die Psychometrie-Erfassung des Funktionsniveaus im Januar 2014 habe eine Leistungsunfähigkeit in fast allen Bereichen gezeigt. Aktuell finde keine Behandlung statt. Seit Herbst 2013 und bis auf weiteres bestehe eine 100%- ige Arbeitsunfähigkeit in jedem Arbeitsbereich. Es bestünden psychische und neuropsychologische Einbussen, welche sich auf die Arbeitsfä higkeit auswirkten. Eine gutachterliche Abklärung sei dringend indiziert; die Ein schätzung sowohl der somatischen als auch der psychischen Situation gestalte sich schwierig. 5.3</w:t>
      </w:r>
    </w:p>
    <w:p>
      <w:r>
        <w:t>Im Austrittsbericht vom 21. März 2014 (Urk. 6/29) berichtete med. pract . C.___, Facharzt für Psychiatrie und Psychotherapie FMH, D.___, über die Diagnosen einer mittelgradigen depressiven Episode (ICD 10 F32.1) und einer leichten Intelligenzminderung (ICD 10 F70.9). Der Ver sicherte sei ihm Rahmen einer Krisenintervention aufgrund einer depressiven Symptomatik, sozialen Rückzugs und geäusserten Suizidgedanken am 30. Januar 2014 freiwillig in die Klinik eingetreten. Es bestehe der Verdacht auf eine Intelli genzminderung; nach BOMAT-Standard weise der Versicherte einen IQ von 70, nach WAIS-IV einen IQ von 61 auf. Bei Eintritt habe das klinische Zustandsbild einer mittelgradigen depressiven Episode entsprochen. Auslösende Faktoren seien der soziale Rückzug und die Überforderung am Arbeitsplatz, welche vermutlich durch eine leichte Intelligenzminderung mitbedingt gewesen sei. Für den Versi cherten sei eine Gemeinschafts-Wohnform mit geregelter Tagesstruktur und Betreuung durch Fachpersonen sowie eine geregelte Arbeitsstruktur mit reduzier tem Pensum oder allenfalls auf dem geschützten Arbeitsmarkt zu empfehlen. Ab Eintritt am 30. Januar 2014 bis zum Austritt am 21. März 2014 habe eine Arbeitsunfähigkeit von 100 % bestanden. 5.4</w:t>
      </w:r>
    </w:p>
    <w:p>
      <w:r>
        <w:t>Pract . med. E.___, Facharzt für Arbeitsmedizin des regionalen ärztli chen Dienstes (RAD), führte in seiner Stellungnahme vom 8. Oktober 2016 (Urk. 6/118/4 f) aus, es bestünden die Diagnosen einer mittelgradigen depressiven Episode (ICD 10 F32.1) und einer leichten Intelligenzminderung (ICD 10 F70.9). Der Versicherte befinde sich seit 2014 nicht mehr in regelmässiger ärztlicher Behandlung. Zum Belastungsprofil führte er aus, dass keine körperlichen Ein schränkungen bestehen würden. Eine Tätigkeit im bisherigen Rahmen an einem Nischenarbeitsplatz sei denkbar. Auf einen solchen Nischenarbeitsplatz sei der Versicherte jedoch angewiesen, auf dem ersten Arbeitsmarkt könne er seine Arbeitsfähigkeit nicht verwerten. 6.</w:t>
      </w:r>
    </w:p>
    <w:p>
      <w:r>
        <w:rPr>
          <w:b/>
        </w:rPr>
        <w:t>E. 6</w:t>
      </w:r>
    </w:p>
    <w:p>
      <w:r>
        <w:t>ATSG) gewesen sind; und c.</w:t>
      </w:r>
    </w:p>
    <w:p>
      <w:r>
        <w:t>nach Ablauf dieses Jahres zu mindestens 40 % invalid ( Art.</w:t>
      </w:r>
    </w:p>
    <w:p>
      <w:r>
        <w:rPr>
          <w:b/>
        </w:rPr>
        <w:t>E. 6.1</w:t>
      </w:r>
    </w:p>
    <w:p>
      <w:r>
        <w:t>Zu prüfen ist, ob die Beschwerdegegnerin den medizinischen Sachverhalt ausrei chend abgeklärt und gestützt darauf zu Recht einen Anspruch des Versicherten auf eine ganze Rente der Invalidenversicherung bejahte. Sie begründete ihre ren tenzusprechende Verfügung damit, dass eine Verwertung der Arbeitsfähigkeit des Versicherten auf dem ersten Arbeitsmarkt nicht möglich sei. Welchen Gesund heitsschaden sie dieser Einschätzung zugrunde legte, ist aus der angefochtenen Verfügung (Urk. 2) nicht ersichtlich. Der Stellungnahme des RAD-Arztes (E. 5.4) kann aber eine mittelgradige depressive Episode (ICD 10 F32.1) und eine leichte Intelligenzminderung (ICD 10 F70.9) entnommen werden.</w:t>
      </w:r>
    </w:p>
    <w:p>
      <w:r>
        <w:rPr>
          <w:b/>
        </w:rPr>
        <w:t>E. 6.2</w:t>
      </w:r>
    </w:p>
    <w:p>
      <w:r>
        <w:t>Die mittelgradige depressive Episode wurde im Bericht von Dr. C.___ (E. 5.3) als Diagnose bei Eintritt in die Klinik genannt, wobei die depressive Symptomatik nach Eintritt rasch remittiert sei (Urk. 6/29/3). Welche konkreten Auswirkungen die psychiatrische Diagnose weiterhin auf die Arbeitsfähigkeit des Versicherten zeitigt, wurde nicht beschrieben. Unklar ist zudem, aufgrund welcher Faktoren die Diagnose einer mittelgradigen Depression gestellt wurde und – im Lichte der neuen Rechtsprechung nach BGE 143 V 418 i.V.m . BGE 141 V 281 – welche Standardindikatoren vorliegen, um der Erkrankung eine invalidenversicherungs rechtliche Gesundheitsschädigung zuzuerkennen. Ebensowenig äusserte sich Dr. B.___ zur Diagnostik und den Auswirkungen einer depressiven Störung auf die Arbeitsfähigkeit des Versicherten (E. 5.2). Die leichte Intelligenzminderung wurde von Dr. C.___ aufgrund zweier, während des stationären Aufenthalts durchgeführten Tests festgestellt (E. 5.3). Auch hier erfolgte keine Einschätzung der Arbeitsfähigkeit des Versicherten in der ange stammten wie auch einer angepassten Tätigkeit. Immerhin erschliesst sich aus dem Bericht, dass eine geregelte Arbeitsstruktur mit einem reduzierten Arbeits pensum möglich sei (Urk. 6/29/3). Auch die Beschwerdegegnerin schien davon auszugehen, dass eine (Teil)Arbeitsfähigkeit bestehe (Urk. 6/89/1, vgl. auch den Bericht der F.___, wonach Hilfsarbeiten mit tiefen Anfor derungen in Frage kämen, Urk. 6/97/1).</w:t>
      </w:r>
    </w:p>
    <w:p>
      <w:r>
        <w:rPr>
          <w:b/>
        </w:rPr>
        <w:t>E. 6.3</w:t>
      </w:r>
    </w:p>
    <w:p>
      <w:r>
        <w:t>Den Eintritt des gesundheitsschädigenden Ereignisses respektive den Beginn des Wartejahres datierte die Beschwerdegegnerin auf den 4. September 2013. Eine verspätete Anmeldung verneinte sie (Urk. 6/118/6). Damit verneinte sie eine invalidenversicherungsrechtlich relevante gesundheitliche Einschränkung vor diesem Datum. Ihrer Begründung zur Rentenzusprache ist jedoch zu entnehmen, dass der Versicherte – mutmasslich aufgrund der vorbestehenden kognitiven Ein schränkungen – nicht in der Lage sei, seine Arbeitsfähigkeit auf dem ersten Arbeitsmarkt zu verwerten. Implizit stützte die Beschwerdegegnerin ihre Verfü gung demnach auf einen bereits zuvor bestehenden Gesundheitsschaden. Damit wäre jedoch nicht von einer rechtzeitigen Anmeldung auszugehen; die Verfü gungsbegründung erweist sich als widersprüchlich. Jedenfalls ist unklar, welches gesundheitliche Ereignis im September 2013 eintrat und gestützt auf welche gesundheitliche Einschränkung die Beschwerdegegnerin einen invalidenversiche rungsrechtlichen Anspruch bejahte. Eine Verwertbarkeit der Arbeitsfähigkeit kann jedenfalls nicht beurteilt werden, solange unklar ist, ob und in welchem Ausmass ein Gesundheitsschaden vorliegt.</w:t>
      </w:r>
    </w:p>
    <w:p>
      <w:r>
        <w:rPr>
          <w:b/>
        </w:rPr>
        <w:t>E. 6.4</w:t>
      </w:r>
    </w:p>
    <w:p>
      <w:r>
        <w:t>Es liegt somit weder eine nachvollziehbare aktuelle Diagnosestellung und Befun dung vor, noch sind den Akten schlüssige medizinische Ausführungen zu ent nehmen, die eine zuverlässige Beurteilung der Arbeitsfähigkeit erlauben würden. Es ist weder ersichtlich, welche derzeitigen Einschränkungen bestehen, noch wann diese in welchem Ausmass entstanden. Ebensowenig fanden Abklärungen statt, ob und wenn ja inwiefern die gesundheitlichen Einschränkungen eine Aus wirkung auf die Arbeitsfähigkeit des Versicherten zeitigen und wenn ja in wel chem Ausmass. Die Stellungnahme des RAD (E. 5.4) stützte sich somit auf einen nicht hinreichend erstellten medizinischen Sachverhalt.</w:t>
      </w:r>
    </w:p>
    <w:p>
      <w:r>
        <w:rPr>
          <w:b/>
        </w:rPr>
        <w:t>E. 6.5</w:t>
      </w:r>
    </w:p>
    <w:p>
      <w:r>
        <w:t>Nach dem Gesagten kann aufgrund der Akten nicht abschliessend festgelegt wer den, ob und in welchem Umfang der Beschwerdeführer arbeitsfähig ist. Da unklar ist, welche Gesundheitsschäden vorliegen, kann auch nicht beurteilt werden, ob eine Verwertung der (Rest-)Arbeitsfähigkeit auf dem ersten Arbeitsmarkt möglich ist. Der angefochtene Entscheid ist deshalb aufzuheben und die Sache zur weite ren Abklärung und anschliessendem neuen Entscheid über die Leistungsansprü che von Y.___ an die Beschwerdegegnerin zurückzuweisen. In diesem Sinne ist die Beschwerde gutzuheissen. 7.</w:t>
      </w:r>
    </w:p>
    <w:p>
      <w:r>
        <w:t>7.1</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 hän gig vom Streitwert im Rahmen von Fr. 200.-- bis Fr. 1'000.-- festge legt .</w:t>
      </w:r>
    </w:p>
    <w:p>
      <w:r>
        <w:t>Die Kosten des Verfahrens sind auf Fr. 600.-- festzusetzen und, da die Rückwei sung an die Verwaltung nach ständiger Rechtsprechung als vollständiges Obsie gen gilt (BGE 137 V 57 E. 2.2), ausgangsgemäss der Beschwerdegegnerin aufzu erlegen. 7.2</w:t>
      </w:r>
    </w:p>
    <w:p>
      <w:r>
        <w:t>Mit Beschwerde vom 20. März 2017 beantragte die Beschwerdeführerin zudem eine Parteientschädigung. Der Beschwerde führenden (obsiegenden) Person wird zwar gemäss Art. 61 lit . g ATSG grundsätzlich ein Anspruch auf Parteientschä digung zuerkannt, dies gilt jedoch nicht für Sozialversicherer. Diese sind in über einstimmender Auslegung mit Art. 68 Abs. 3 des Bundesgesetzes über das Bun desgericht (BGG) nach bundesgerichtlicher Rechtsprechung mit öffentlich-recht lichen Aufgaben betraute Organe (Kieser, ATSG-Kommentar, 3. Auflage, 2015, N 200 zu Art. Art. 61 ATSG). Es besteht daher kein Anspruch der Beschwerdefüh rerin auf eine Parteientschädigung. Das Gericht erkennt: 1.</w:t>
      </w:r>
    </w:p>
    <w:p>
      <w:r>
        <w:t>Die Beschwerde wird in dem Sinne gutgeheissen, dass die angefochtene Verfügung vom 14. Februar 2017 aufgeho ben und die Sache an die Sozialversicherungsanstalt des Kan tons Zürich, IV-Stelle, zurückgewiesen wird, damit diese, nach erfolgter Abklärung im Sinne der Erwägun gen, über den Leistungsanspruch von Y.___ neu verfüge. 2.</w:t>
      </w:r>
    </w:p>
    <w:p>
      <w:r>
        <w:t>Die Gerichtskosten von Fr. 600 .-- werden der Beschwerdegegnerin auferlegt.</w:t>
      </w:r>
    </w:p>
    <w:p>
      <w:r>
        <w:t>Rechnung und Einzahlungsschein werden der Kostenpflichtigen nach Eintritt der Rechtskraft zugestellt. 3.</w:t>
      </w:r>
    </w:p>
    <w:p>
      <w:r>
        <w:t>Zustellung gegen Empfangsschein an: - Rechtsanwalt Dr. Manuel Brandenberg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HurstMeier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