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IV.2017.00236 vom 12. März 2018</w:t>
      </w:r>
    </w:p>
    <w:p>
      <w:r>
        <w:t>ZH Sozialversicherungsgericht, 2018-03-12, DE</w:t>
      </w:r>
    </w:p>
    <w:p>
      <w:r>
        <w:rPr>
          <w:b/>
        </w:rPr>
        <w:t xml:space="preserve">Quelle: </w:t>
      </w:r>
      <w:r>
        <w:t>https://mcp.opencaselaw.ch/entscheid/zh_sozialversicherungsgericht_IV.2017.00236</w:t>
      </w:r>
    </w:p>
    <w:p>
      <w:r>
        <w:t>FR: ZH_SOZIALVERSICHERUNGSGERICHT IV.2017.00236 du 12 mars 2018</w:t>
      </w:r>
    </w:p>
    <w:p>
      <w:r>
        <w:t>IT: ZH_SOZIALVERSICHERUNGSGERICHT IV.2017.00236 del 12 marzo 2018</w:t>
      </w:r>
    </w:p>
    <w:p>
      <w:pPr>
        <w:pStyle w:val="Heading2"/>
      </w:pPr>
      <w:r>
        <w:t>Erwägungen</w:t>
      </w:r>
    </w:p>
    <w:p>
      <w:r>
        <w:rPr>
          <w:b/>
        </w:rPr>
        <w:t>E. 1</w:t>
      </w:r>
    </w:p>
    <w:p>
      <w:r>
        <w:t>X.___ , geboren 1956, arbeitete zuletzt - von Mai bis Dezember 2014 - bei der Y.___ als Spitex-Betreuerin in einem Pensum von 60 % (Urk. 13/13) .</w:t>
      </w:r>
    </w:p>
    <w:p>
      <w:r>
        <w:t>Unter Hinweis auf Dr. Z.___ der Clienia A.___ meldete sich die Versicherte am 22. März 2015 bei der Invalidenversicherung zum Leis tungsbezug an (Urk. 13/2). Die Sozialversicherungsanstalt des Kantons Zürich, IV-Stelle, klärte die medizinische und erwerbliche Situation ab, zog Akten des Krankentaggeldversicherers bei (Urk. 13/30) und holte ein psychiatrisches Gut achten ein, das am 29. April 2016 erstattet wurde (Urk. 13/38). Am 26. Oktober 2016 führte die IV-Stelle bei der Versicherten eine Haushaltsabklärung vor Ort durch (Bericht vom 7. November 2016; Urk. 13/47).</w:t>
      </w:r>
    </w:p>
    <w:p>
      <w:r>
        <w:t>Nach durchgeführtem Vorbescheidverfahren (Urk. 13/52; Urk. 13/57) verneinte die IV-Stelle mit Verfügung vom 18. Januar 2017 einen Rentenanspruch (Urk. 13/63 = Urk. 2).</w:t>
      </w:r>
    </w:p>
    <w:p>
      <w:r>
        <w:rPr>
          <w:b/>
        </w:rPr>
        <w:t>E. 1.1</w:t>
      </w:r>
    </w:p>
    <w:p>
      <w:r>
        <w:t>Invalidität ist die voraussichtlich bleibende oder längere Zeit dauernde ganze oder teilweise Erwerbsunfähigkeit (Art. 8 Abs. 1 des Bundesgesetzes über den Allgemeinen Teil des Sozialversicherungsrecht, ATSG ). Erwerbsunfähigkeit ist der durch Beeinträchtigung der körperlichen, geistigen oder psychischen Gesundheit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21. Februar 2017 Beschwerde gegen die Verfügung vom 18. Januar 2017 (Urk. 2) und beantragte, diese sei aufzuheben und es sei ihr basierend auf einer mindestens 80%igen Validentätigkeit eine Invalidenrente zuzusprechen (Urk. 1 S. 2).</w:t>
      </w:r>
    </w:p>
    <w:p>
      <w:r>
        <w:t>Die IV-Stelle beantragte mit Beschwerdeantwort vom 28. März 2017 (Urk. 12) die Abweisung der Beschwerde. Mit Gerichtsverfügung vom 11. Mai 2017 wur den antragsgemäss (vgl. Urk. 1 S. 2) die unentgeltliche Prozessführung und Rechtsvertretung bewilligt und der Beschwerdeführerin die Beschwerdeantwort zugestellt (Urk. 14). Am 30. November 2017 zog die Beschwerdeführerin ihr prozessuales Gesuch aufgrund der Kostengutsprache der Gesundheitsrechts schutzversicherung für das vorliegende Verfahren wieder zurück (Urk. 16), wo von Vormerk genommen wird. Das Gericht zieht in Erwägung: 1.</w:t>
      </w:r>
    </w:p>
    <w:p>
      <w:r>
        <w:rPr>
          <w:b/>
        </w:rPr>
        <w:t>E. 2.1</w:t>
      </w:r>
    </w:p>
    <w:p>
      <w:r>
        <w:t>Die Beschwerdegegnerin ging in der angefochtenen Verfügung ( Urk. 2) gestützt auf die medizinischen Abklärungen sowie den Abklärungsbericht Beruf und Haushalt vom 7. November 201 6 ( Urk. 13 / 47 ) davon aus , dass die Beschwerde führerin ohne gesundheitliche Einschränkungen weiterhin ihrer Tätigkeit als Be treuerin zu einem Pensum von 60 % nachgehen würde. Die Beschwerdeführerin lebe getrennt von ihrem Ehemann und erhalte entsprechend Unterhaltszahlun gen. Finanzielle Gründe würden damit keine bestehen, dass die Beschwerde führerin zwingend einer Vollzeitbeschäftigung nachgehen müsste, was sie bis anhin auch nicht gemacht habe (S. 2 unten). Die restlichen 40 % würden in den Aufgabenbereich entfallen.</w:t>
      </w:r>
    </w:p>
    <w:p>
      <w:r>
        <w:t>Aus ärztlicher Sicht sei die Ausübung einer angepassten Tätigkeit zu 50 % zu mutbar. Unter Berücksichtigung der Einschränkung im Haushaltsbereich von 19 % (S. 1 unten) resultiere ein Invaliditätsgrad von 20 % (S. 2 oben ).</w:t>
      </w:r>
    </w:p>
    <w:p>
      <w:r>
        <w:rPr>
          <w:b/>
        </w:rPr>
        <w:t>E. 2.2</w:t>
      </w:r>
    </w:p>
    <w:p>
      <w:r>
        <w:t>Demgegenüber stellte sich die Beschwerdeführerin im Wesentlichen auf den Standpunkt ( Urk. 1), sie habe zu keiner Zeit gesagt, dass sie bei guter Gesund heit lediglich zu 60 % arbeiten würde. Wäre sie gesund, würde sie zu mindes tens 80 % arbeiten. Die Würdigung der sogenannten Aussage der ersten Stunde durch die Beschwerdegegnerin sei deshalb als willkürlich zu disqualifizieren (S. 7 f.). Sie habe sich nach jahrelangem Zögern endlich zur Trennung durchringen können, stehe seither aber finanziell schlecht da. Eine Scheidung werde nicht zur Verbesserung ihrer finanziellen Situation beitragen. Sie wäre deshalb darauf angewiesen, auch finanziell auf eigenen Füssen stehen zu können. Wäre sie ge sund, würde sie deshalb schon seit Jahren mindestens 80 % arbeiten. Dass sie heute mehr als 60 % arbeiten würde, zeige sich auch daran, dass sie trotz seit Jahren vorliegender massiver gesundheitlicher Beschwerden immer wieder an ihre physischen und psychischen Grenzen gegangen sei (S. 9 Ziff. 23-24).</w:t>
      </w:r>
    </w:p>
    <w:p>
      <w:r>
        <w:rPr>
          <w:b/>
        </w:rPr>
        <w:t>E. 2.3</w:t>
      </w:r>
    </w:p>
    <w:p>
      <w:r>
        <w:t>Zwischen den Parteien unbestritten ist die Einschränkung im Erwerbsbereich von 50 % zum Zeitpunkt der angefochtenen Verfügung vom 18. Januar 201 7 ( Urk. 1 S.</w:t>
      </w:r>
    </w:p>
    <w:p>
      <w:r>
        <w:rPr>
          <w:b/>
        </w:rPr>
        <w:t>E. 6</w:t>
      </w:r>
    </w:p>
    <w:p>
      <w:r>
        <w:t>ATSG) gewesen sind; und c.</w:t>
      </w:r>
    </w:p>
    <w:p>
      <w:r>
        <w:t>nach Ablauf dieses Jahres zu mindestens 40 % invalid ( Art.</w:t>
      </w:r>
    </w:p>
    <w:p>
      <w:r>
        <w:rPr>
          <w:b/>
        </w:rPr>
        <w:t>E. 6.1</w:t>
      </w:r>
    </w:p>
    <w:p>
      <w:r>
        <w:t>Der Gesamtinvaliditätsgrad berechnet sich mittels Addition der Teilinvaliditäts grade. Demnach resultiert bei einem Teilinvaliditätsgrad im Erwerbsbereich von 12.7 % (vgl. vorstehend E. 4.5) und einem solchen von 7.6 % im Haushalts bereich (vgl. vorstehend E. 5.5) ein Gesamtinvaliditätsgrad von 20 %, was kei nen Anspruch auf eine Invalidenrente begründet. Selbst bei der Annahme einer höheren Teileinschränkung im Haushaltsbereich, welche vorliegend höchstens in gleicher Höhe wie die in psychischer Hinsicht ausgewiesene 50%ige Arbeits unfähigkeit anzunehmen wäre, resultiert bei der vorliegend zur Anwendung gelangenden gemischten Methode kein rentenbegründender Invaliditätsgrad.</w:t>
      </w:r>
    </w:p>
    <w:p>
      <w:r>
        <w:t>Die angefochtene Verfügung vom 1 8. Januar 2017 erweist sich damit als rech tens, was zur Abweisung der Beschwerde führt.</w:t>
      </w:r>
    </w:p>
    <w:p>
      <w:r>
        <w:rPr>
          <w:b/>
        </w:rPr>
        <w:t>E. 6.2</w:t>
      </w:r>
    </w:p>
    <w:p>
      <w:r>
        <w:t>Es bleibt der Beschwerdeführerin unbenommen, sich bei der Beschwerde gegnerin neu anzumelden. Auf den 1. Januar 2018 wurde Art. 27 bis IVV um die Absätze 2-4 ergänzt, womit die gemischte Methode anders als bisher gehand habt wird. Gemäss Absatz 2 der dazugehörenden Übergangsbestimmungen wird eine neue Anmeldung geprüft, wenn eine Rente vor dem Inkrafttreten der Änderung wegen eines zu geringen Invaliditätsgrades einer teilerwerbstätigen versicherten Person, die sich zusätzlich im Aufgabenbereich betätigte, verwei gert wurde, wenn die Berechnung des Invaliditätsgrades nach den neuen Art. 27 bis</w:t>
      </w:r>
    </w:p>
    <w:p>
      <w:r>
        <w:t>Abs. 2-4 IVV voraussichtlich zu einem Rentenanspruch führt. 7.</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700.-- anzusetzen. Entsprechend dem Ausgang des Verfahrens sind sie der unterliegenden Beschwerdeführer in aufzu 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Beat Wieduwilt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Bei Versicherten, die nur zum Teil erwerbstätig sind ,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 benbereich festzulegen und der Invaliditätsgrad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rPr>
          <w:b/>
        </w:rPr>
        <w:t>E. 10</w:t>
      </w:r>
    </w:p>
    <w:p>
      <w:r>
        <w:t>Ziff. 32 ; Urk. 2 S. 2).</w:t>
      </w:r>
    </w:p>
    <w:p>
      <w:r>
        <w:t>Nachdem sich aus den Akten keine Hinweise auf eine höhere Restarbeitsfähig keit ergeben, ist im Folgenden bei einer Restarbeitsfähigkeit von maximal 50 % aufgrund eines Einkommensvergleiches der Invaliditätsgrad der Beschwerde führerin im Erwerbsbereich zu ermitteln.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 te, wenn sie nicht in valid geworden wäre (sog. Valideneinkommen).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BGE 130 V 343 E. 3.4.2 mit Hinweisen). 4.3</w:t>
      </w:r>
    </w:p>
    <w:p>
      <w:r>
        <w:t>Die Beschwerdegegnerin bestimmte das Valideneinkommen gestützt auf den Zentralwert der Lohntabelle des Bundesamts für Statistik für Arbeiten im Gesundheits- und Sozialwesen (LSE 2014, Tabelle TA1, Ziff. 86-88, Frauen) und ermittelte für das Jahr 2016 ein Valideneinkommen von Fr. 57'427.90 respekti ve von Fr. 34'456.75 bei einem im Gesundheitsfall hypothetisch anzunehmen den 60%igen Pensum (vgl. Urk. 2 S. 2, so auch Urk. 13/50). Dies ist nicht zu beanstanden und wurde von der Beschwerdeführerin nur hinsichtlich der Höhe des Pensums respektive der Erwerbsqualifikation gerügt (dazu vorstehend E. 3). 4.4</w:t>
      </w:r>
    </w:p>
    <w:p>
      <w:r>
        <w:t>Bei der Festlegung des Invalideneinkommens stellte die Beschwerdegegnerin ebenfalls auf die Tabellenlöhne gemäss LSE (LSE 2014, TA1, Total, Frauen) ab und ermittelte für das Jahr 2016 ein Invalideneinkommen von Fr. 54'332.30 respektive Fr. 27'166.15 bei ausgewiesener 50%iger Restarbeitsfähigkeit in an gepassten Tätigkeiten (Urk. 13/50). Dies ist nach Lage der Akten ebenfalls nicht zu beanstanden und wurde durch die Beschwerdeführerin - ohne weitere Be gründung - einzig hinsichtlich des von der Beschwerdegegnerin nicht gewähr ten leidensbedingten Abzuges gerügt (Urk. 1 S. 10 Ziff. 32).</w:t>
      </w:r>
    </w:p>
    <w:p>
      <w:r>
        <w:t>Gemäss Gutachten ist der Beschwerdeführer in eine die K riterien berücksichti gende (Verweis-)Tätigkeit zu 50 % zumutbar (vgl. Urk. 13/38 S. 9 Ziff. 7.3-4 ). Daraus ist zu schliessen, dass d en gesundheitlichen Einschränkungen im Rahmen der medizinisch zumutbaren Arbeitsfähigkeit und des ärztlich um schriebenen Anforderungsprofils an den Arbeitsplatz Rechnung getragen wurde. In der Beurteilung des medizinischen Zumutbarkeitsprofils enthaltene gesund heitliche Einschränkungen können nicht zusätzlich in die Bemessung des lei densbedingten Abzuges einfliessen und so zu einer doppelten Anrechnung des selben Gesichtspunktes führen (Urteil des Bundesgerichts 8C_75/2008 vom 1 4. November 2008 E. 4.3). Ausserdem ist aufgrund des beschriebenen Belas tungsprofils davon auszugehen, dass genügend zumutbare Verweistätigkeiten auf dem massgeblichen ausgeglichenen Arbeitsmarkt vorhanden sind. 4.5</w:t>
      </w:r>
    </w:p>
    <w:p>
      <w:r>
        <w:t>Bei einem Valideneinkommen von Fr. 34'456.75 (vgl. vorstehend E. 4.3 ) sowie einem Invalideneinkommen in der Höhe von rund Fr. 27'166.15</w:t>
      </w:r>
    </w:p>
    <w:p>
      <w:r>
        <w:t>( vgl. vorste hend E. 4. 4 ) ergibt sich somit eine Einkommenseinbusse von Fr. 7'290.60, was einer Einschränkung im Erwerbsbereich von 21.16 % entspricht. Bei einem An teil des erwerblichen Bereichs von 60 % ergibt dies anteilig einen Invaliditäts grad von 12.70 % ( 21.16 % x 0.6). 5. 5.1</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 führung unter dem Gesichtswinkel der Zumutbarkeit zu äussern hat, bedarf es nur in Ausnahmefällen, namentlich bei unglaubwürdigen Angaben der versi cherten Person, die im Widerspruch zu den ärztlichen Befunden stehen (Urteil des Bundesgerichts 8C_817/2013 vom 2 8. Mai 2014 E. 5.1 mit weiteren Hinwei 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 gerichts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 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5.2</w:t>
      </w:r>
    </w:p>
    <w:p>
      <w:r>
        <w:t>Zur Beurteilung der Beeinträchtigungen im Hauhaltbereich wurde die Be schwerdeführerin am 26. Oktober 2016 zu Hause besucht. Der Haushaltsabklä rungsbericht vom 7. November 201 6 ( Urk. 13 / 47 ) enthält eine eingehende Abklärung der Wohnverhältnisse sowie der im Haushalt der Beschwerdeführerin anfallenden Tätigkeiten. In Übereinstimmung mit der Verwaltungspraxis (KSIH, Rz 3084 ff, Stand 1. März 2016 ) wurden darin die Haushaltstätigkeiten in sieben Aufgaben eingeteilt und anschliessend nach deren prozentualen Gewichtung im Vergleich zu sämtlichen anfallenden Tätigkeiten bewertet. In der Folge machte sich die Abklärungsperson ein Bild über die örtlichen und räumlichen Wohn verhältnisse der Beschwerdeführerin und klärte für jeden der sieben Tätigkeits bereiche die konkrete Behinderung ab. Die Berichtstexte sind nachvollziehbar begründet sowie angemessen detailliert und die Aussagen der Beschwerde führerin wurden dabei erwähnt und berücksichtigt. Der Abklärungsbericht er füllt demnach die genannten Kriterien vollumfänglich, so dass darauf abgestellt werden kann. 5.3</w:t>
      </w:r>
    </w:p>
    <w:p>
      <w:r>
        <w:t>Soweit die Beschwerdeführerin vorbringt, dass es nicht nachvollziehbar sei, weshalb der Bereich Haushaltsführung mit 5 % gewichtet werde (vgl. Urk. S. 9 Ziff. 26), verkennt sie, dass sich die Abklärungsperson bei der Aufgabenauftei lung und Bewertung der einzelnen Aufgaben an die Vorgaben des KSIH (Rz 3086; Stand 1. März 2016) gehalten hat und eine andere Gewichtung nur bei ganz erheblichen Abweichungen vom Schema vorgenommen werden darf (Rz 3088 KSIH), was vorliegend weder geltend gemacht noch ersichtlich ist. Im Weiteren hängt die Bedeutung der Haushaltsführung von den Umständen im Einzelfall wie beispielsweise Familiengrösse, Wohnverhältnisse, technische Ein richtungen und Hilfsmittel sowie Umschwung ab (Rz 3085 KSIH), was die Ab klärungsperson ebenfalls entsprechend berücksichtigte (vgl. Urk. 13/47 S. 5 Ziff. 4 f.). 5.3.1</w:t>
      </w:r>
    </w:p>
    <w:p>
      <w:r>
        <w:t>Hinsichtlich der Einschränkung der Haushaltsführung bringt die Beschwerde führerin weiter vor, dass sie in Planung, Organisation, Arbeitseinteilung und Kontrolle deutlich eingeschränkt sei, und verweist dabei darauf, dass sie bei der Bewältigung des Alltags und der administrativen Aufgaben auf externe Hilfe angewiesen sei (Urk. 1 S. 9 Ziff. 26). Zwar ergibt sich aus der Pflegedokumenta tion der ambulanten psychiatrischen Pflege und psychosozialen Beratung «Knowledge &amp; Nursing» (Urk. 13/44), dass die Beschwerdeführerin immer wieder zerstreut und blockiert sei, Antriebsprobleme und Abgrenzungsprobleme habe und überfordert sei. Dass ihr die Haushaltsführung - abgesehen von einem all fälligen zeitlichen Mehraufwand - nicht mehr selbständig möglich sein soll, geht daraus hingegen nicht hervor. Die Beschwerdeführerin vergisst, dass ihr in zeitlicher Hinsicht für die Besorgung des Haushalts mehr Spielraum für die Ein teilung wie auch Ausführung der anfallenden Arbeiten zur Verfügung steht, als es im Arbeitsverhältnis in der Regel der Fall ist. Entsprechend hat sie in erster Linie ihre Arbeit einzuteilen (sog. Grundsatz der Schadenminderungspflicht, vgl. dazu BGE 133 V 504 E. 4.2 mit Hinweisen). Zu beachten ist schliesslich auch, dass die Funktionsfähigkeit der Beschwerdeführerin im Alltag gemäss neu ro-psychologischer Untersuchung vom 20. August 2015 aus neurokognitiver Sicht nicht eingeschränkt ist (vgl. Urk. 13/30/11-15). Dass die Abklärungs person bei der Tätigkeit Haushaltsführung keine Einschränkung berücksichtigte, ist nach dem Gesagten nicht zu beanstanden. 5.3.2</w:t>
      </w:r>
    </w:p>
    <w:p>
      <w:r>
        <w:t>Bei der Tätigkeit der Wohnungspflege nahm die Abklärungsperson eine Ein schränkung von 25 % an und berücksichtigte dabei, dass die Beschwerde führerin die Wohnungspflege je nach Tagesverfassung einmal mehr und einmal weniger sowie vorne weg und bei Bedarf auf die Woche verteilt vornehme. Berücksichtigt wurde auch, dass die Beschwerdeführerin behinderungsbedingt mit ihren Händen die Fenster- und Türrahmenreinigung nicht mehr selber vorneh men kann und dabei von der Nachbarin unterstützt werde. Inwiefern - wiede rum unter Berücksichtigung der Schadenminderungspflicht - eine höhere als die angenommene Einschränkung vorliegen soll, ist nicht ersichtlich. 5.3.3</w:t>
      </w:r>
    </w:p>
    <w:p>
      <w:r>
        <w:t>Schliesslich wendet die Beschwerdeführerin ein, dass im Bereich «Einkauf und weitere Besorgungen» nicht nachvollziehbar sei, dass keine Einschränkungen vorhanden sein sollen, da sie ja schliesslich externe Hilfe benötige, damit diese überhaupt erledigt werden können (Urk. 1 S. 10 Ziff. 30). Dass die Beschwerde führerin bei Einkäufen eingeschränkt ist, ergibt sich vorliegend nicht. Sie geht regelmässig und selbständig mit dem Auto einkaufen. Auch die Post- und Bankgeschäfte kann sie offenbar (noch) selbständig erledigen und nur bei der Ablage bestünden gewisse Schwierigkeiten. Dass der psychiatrische Pfleger der Beschwerdeführerin einmalig einen Ordner zur Ablage angelegt hat, kann dabei nicht als (dauerhafte) Einschränkung berücksichtigt werden, sondern ist als kurzfristige Hilfestellung anzusehen. Dass die Beschwerdeführerin seit 1. März 2017 vom Treuhanddienst der E.___ unterstützt wird (vgl. Urk. 11), ist ohne Auswirkung auf die im vor liegenden Verfahren zu beurteilenden Fragen, handelt es sich dabei doch einzig um einen Treuhandvertrag. Eine krankheitsbedingte Einschränkung geht daraus nicht hervor. 5.4</w:t>
      </w:r>
    </w:p>
    <w:p>
      <w:r>
        <w:t>Soweit die Beschwerdeführerin schliesslich geltend macht, dass allfällige Wech selwirkungen zwischen Arbeitstätigkeit und Haushalt vorliegen würden (Urk. 1 S. 10 Ziff. 31), ist zu bemerken, dass gesundheitliche Auswirkungen vom Erwerbs- in den Haushaltsbereich nur dann angenommen werden können , wenn die verbleibende Arbeitsfähigkeit im erwerblichen Tätigkeitsgebiet voll ausge nützt wird (vgl. BGE 134 V 9 E. 7.3.3), was vorliegend nicht der Fall ist. Weiter kann e in allfälliges reduziertes Leistungsvermögen im erwerblichen Bereich in folge der Beanspruchung im Haushalt ferner lediglich für den Fall berücksich tigt werden, dass Betreuungspflichten (gegenüber Kindern, pflegebedürftigen Angehörigen etc.) vorhanden sind , was vorliegend ebenfalls zu verneinen ist. Weitere Ausführungen dazu erübrigen sich somit. 5.5</w:t>
      </w:r>
    </w:p>
    <w:p>
      <w:r>
        <w:t>Zusammenfassend vermögen die Vorbringen der Beschwerdeführerin keine Zweifel am Abklärungsbericht vom 7. November 2016 zu begründen. Gestützt darauf ergibt sich im Haushaltsbereich insgesamt eine Einschränkung von 19 % (Urk. 13/47 Ziff. 6.8). Bei einem Anteil des Haushaltsbereiches von 40 % ent spricht dies einem gewichteten Teilinvaliditätsgrad von 7.60 % (19 % x 0.4).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