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IV.2017.00109 vom 21. Februar 2018</w:t>
      </w:r>
    </w:p>
    <w:p>
      <w:r>
        <w:t>ZH Sozialversicherungsgericht, 2018-02-21, DE</w:t>
      </w:r>
    </w:p>
    <w:p>
      <w:r>
        <w:rPr>
          <w:b/>
        </w:rPr>
        <w:t xml:space="preserve">Quelle: </w:t>
      </w:r>
      <w:r>
        <w:t>https://mcp.opencaselaw.ch/entscheid/zh_sozialversicherungsgericht_IV.2017.00109</w:t>
      </w:r>
    </w:p>
    <w:p>
      <w:r>
        <w:t>FR: ZH_SOZIALVERSICHERUNGSGERICHT IV.2017.00109 du 21 février 2018</w:t>
      </w:r>
    </w:p>
    <w:p>
      <w:r>
        <w:t>IT: ZH_SOZIALVERSICHERUNGSGERICHT IV.2017.00109 del 21 febbraio 2018</w:t>
      </w:r>
    </w:p>
    <w:p>
      <w:pPr>
        <w:pStyle w:val="Heading2"/>
      </w:pPr>
      <w:r>
        <w:t>Erwägungen</w:t>
      </w:r>
    </w:p>
    <w:p>
      <w:r>
        <w:rPr>
          <w:b/>
        </w:rPr>
        <w:t>E. 1.1</w:t>
      </w:r>
    </w:p>
    <w:p>
      <w:r>
        <w:t>X.___ liess am 27. Januar 2017 Beschwerde (Urk. 1) gegen die Verfü gung der Sozialversicherungsanstalt des Kantons Zürich, IV Stelle, vom 13. Dezember 2016 (Urk. 2) erheben, mit welcher diese vom 1. Mai 2015 bis am 30. Juni 2016 eine ganze und ab 1. Juli 2016</w:t>
      </w:r>
    </w:p>
    <w:p>
      <w:r>
        <w:t>eine Dreiviertelsr ente gewährt hatte. Mit Beschwerdeantwort vom 6. März 2017 (Urk. 5) beantragte die Beschwerdegegnerin die Abweisung der Beschwerde, worüber d er Beschwerde führer mit Verfügung vom 8. März 2017 (Urk. 7) in Kenntnis gesetzt wurde.</w:t>
      </w:r>
    </w:p>
    <w:p>
      <w:r>
        <w:t>Mit Beschluss vom 16. Januar 2018 (Urk. 8) räumte das hiesige Gericht den Par teien die Gelegenheit ein , zu einer möglichen Rückweisung der Sache aufgrund der neusten bundesgerichtlichen Rechtsprechung zu psychischen Gesundheits schäden Stellung zu nehmen . G leichzeitig wies es den Beschwerdeführer darauf hin , dass es nach einer ersten Durchsicht der Akten möglich sei , dass der in Betracht gezogene Gerichtsentscheid auf eine Schlechterstellung hinaus laufe, weshalb ihm die Gelegenheit gegeben werde , seine Beschwerde gegebenenfalls zurückzuziehen (Urk. 8). Mit Eingabe vom 19. Februar 2018 (Urk. 11) liess der Beschwerdeführer die Beschwerde zurück ziehen. Der Beschwerdegegnerin ersuchte gleichentags um eine Fristerstreckung, um zur möglichen Rückweisung Stellung zu nehmen, was ihr am 20. Februar 2018 (Urk. 10) gewährt wurde.</w:t>
      </w:r>
    </w:p>
    <w:p>
      <w:r>
        <w:rPr>
          <w:b/>
        </w:rPr>
        <w:t>E. 1.2</w:t>
      </w:r>
    </w:p>
    <w:p>
      <w:r>
        <w:t>Die der Beschwerdegegnerin mit Beschluss vom 16. Januar (Urk. 8) angesetzte und am 20. Februar 2018 (Urk. 10) erstreckte Frist ist abzunehmen, da der Beschwerdeführer seine Beschwerde am 19. Februar 2018 zurückziehen liess und sich dadurch eine Stellungnahme der Beschwerdegegnerin zum möglichen Rückweisungsentscheid erübrigt.</w:t>
      </w:r>
    </w:p>
    <w:p>
      <w:r>
        <w:t>Das Verfahren ist als durch Rückzug der Beschwerde erledigt abzuschreiben.</w:t>
      </w:r>
    </w:p>
    <w:p>
      <w:r>
        <w:rPr>
          <w:b/>
        </w:rPr>
        <w:t>E. 2</w:t>
      </w:r>
    </w:p>
    <w:p>
      <w:r>
        <w:t>Der Prozess wird als durch Rückzug der Beschwerde erledigt abgeschrieben.</w:t>
      </w:r>
    </w:p>
    <w:p>
      <w:r>
        <w:rPr>
          <w:b/>
        </w:rPr>
        <w:t>E. 3</w:t>
      </w:r>
    </w:p>
    <w:p>
      <w:r>
        <w:t>Die Gerichtskosten von Fr. 200 .-- werden dem Beschwerdeführer auferlegt.</w:t>
      </w:r>
    </w:p>
    <w:p>
      <w:r>
        <w:t>Rechnung und Einzahlungsschein werden de m Kostenpflichtigen nach Eintritt der Rechtskraft zugestellt.</w:t>
      </w:r>
    </w:p>
    <w:p>
      <w:r>
        <w:rPr>
          <w:b/>
        </w:rPr>
        <w:t>E. 4</w:t>
      </w:r>
    </w:p>
    <w:p>
      <w:r>
        <w:t>Zustellung gegen Empfangsschein an: - Rechtsanwalt Viktor Györffy - Sozialversicherungsanstalt des Kantons Zürich, IV-Stelle, unter Beilage einer Kopie von Urk. 11 - Bundesamt für Sozialversicherungen sowie an: - Gerichtskasse (im Dispositiv nach Eintritt der Rechtskraft)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Gerichtsschreiber Steudler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