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IV.2017.00003 vom 7. Dezember 2017</w:t>
      </w:r>
    </w:p>
    <w:p>
      <w:r>
        <w:t>ZH Sozialversicherungsgericht, 2017-12-07, DE</w:t>
      </w:r>
    </w:p>
    <w:p>
      <w:r>
        <w:rPr>
          <w:b/>
        </w:rPr>
        <w:t xml:space="preserve">Quelle: </w:t>
      </w:r>
      <w:r>
        <w:t>https://mcp.opencaselaw.ch/entscheid/zh_sozialversicherungsgericht_IV.2017.00003</w:t>
      </w:r>
    </w:p>
    <w:p>
      <w:r>
        <w:t>FR: ZH_SOZIALVERSICHERUNGSGERICHT IV.2017.00003 du 7 décembre 2017</w:t>
      </w:r>
    </w:p>
    <w:p>
      <w:r>
        <w:t>IT: ZH_SOZIALVERSICHERUNGSGERICHT IV.2017.00003 del 7 dicembre 2017</w:t>
      </w:r>
    </w:p>
    <w:p>
      <w:pPr>
        <w:pStyle w:val="Heading2"/>
      </w:pPr>
      <w:r>
        <w:t>Erwägungen</w:t>
      </w:r>
    </w:p>
    <w:p>
      <w:r>
        <w:rPr>
          <w:b/>
        </w:rPr>
        <w:t>E. 1.1</w:t>
      </w:r>
    </w:p>
    <w:p>
      <w:r>
        <w:t>X.___ , geboren 2008, leidet gemäss Dr. med. Z.___ , Facharzt für Kinder- und Jugendmedizin, an einer unklaren neurologischen Erkrankung mit cereb raler Bewegungsstörung mit Chorea, kognitiver Beeinträchtigung sowie oro fazialer</w:t>
      </w:r>
    </w:p>
    <w:p>
      <w:r>
        <w:t>Dyskoordination mit Ernährungs- und Gedeihstörung , chronischer Ver stopfung und Reflux (Urk. 8/374).</w:t>
      </w:r>
    </w:p>
    <w:p>
      <w:r>
        <w:t>Diese Leiden wirken sich insbes ondere dahin gehend aus, dass der Versic herte ohne Hilfsmittel weder eine aufrechte Körper haltung einnehmen oder beibehalten , noch sich fortbewegen kann . Zudem besteht eine Schleimbildung , d ie ihm die Atmung erschwert und die Gefahr von Lungenentzündungen und des Verschluckens mit sich bringt (Urk. 8/205/1) .</w:t>
      </w:r>
    </w:p>
    <w:p>
      <w:r>
        <w:t>Am 8. Dezember 2008 (Urk. 8/1) meldete der Vater den Versicherten bei der Eidgen össischen Invalidenversicherung zwecks Gewährung medizinischer Mass nahmen im Zusammenhang mit einem Geburtsgebrechen an.</w:t>
      </w:r>
    </w:p>
    <w:p>
      <w:r>
        <w:t>In der Folge sprach die Sozialversicherungsanstalt des Kantons Zürich, IV-Stelle (nachfolgend: IV-Stelle) , X.___</w:t>
      </w:r>
    </w:p>
    <w:p>
      <w:r>
        <w:t>wiederholt medizinische Leistun gen im Zusammenhang mit den Ziffern 390 (angeborene cerebrale Lähmungen) und 395 (leichte cerebrale Bewegungsstörungen) des Anhangs zur Verordnung über Geburtsgebrechen (nachfolgend: GgV -Anhang) zu .</w:t>
      </w:r>
    </w:p>
    <w:p>
      <w:r>
        <w:t>Zuletzt wurde die Kostengutsprache für die medizinische Behandlung des Geburts gebrechens gemäss</w:t>
      </w:r>
    </w:p>
    <w:p>
      <w:r>
        <w:t>Ziff. 390 GgV -Anhang einschliesslich ärztlicher ver ordneter Behandlungsgeräte bis am 29. Februar 2020 verlängert</w:t>
      </w:r>
    </w:p>
    <w:p>
      <w:r>
        <w:t>(Mitteilung vom 19. Januar 2015, Urk. 8/294). Am 5. März 2015 (Urk. 8/312) teilte die IV-Stelle dem Versicherten mit, sie übernehme</w:t>
      </w:r>
    </w:p>
    <w:p>
      <w:r>
        <w:t>bis am 31. Januar 2017 weiter hin die Kosten für die aufgrund des Geburtsgebrechens gemäss Ziff. 390 GgV -Anhang ärztlich vero rdnete ambulante Physiotherapie .</w:t>
      </w:r>
    </w:p>
    <w:p>
      <w:r>
        <w:t>Zudem wurden dem Versicherten</w:t>
      </w:r>
    </w:p>
    <w:p>
      <w:r>
        <w:t>verschiedene Hilfsmittel und medizinische Behandlungsgeräte abgegeben. So verfügt er aktuell zur Förderung einer auf rechten Körperhaltung sowie zur</w:t>
      </w:r>
    </w:p>
    <w:p>
      <w:r>
        <w:t>Fortbewegung über einen Transportwagen mit Sitz orthetik (Mitteilungen vom 23. August 2012 [Urk. 8/163] und 23. Januar 2017 [Urk. 8/408]), einen Rollstuhl mit orthopädisch angepasstem Sitz (Mittei lungen vom 23. August 2012 [Urk. 8/164] u nd 13. Januar 2014 [Urk. 8/232), über eine Walker-Orthese</w:t>
      </w:r>
    </w:p>
    <w:p>
      <w:r>
        <w:t>(Mitteilung vom 2. August 2016, Urk. 8/377) sowie über ein Stehbrett (Urk. 8/374) .</w:t>
      </w:r>
    </w:p>
    <w:p>
      <w:r>
        <w:t>Um der Sekretbildung in der Lunge entgegen zuwirken wurde ihm ein Aerosolapparat</w:t>
      </w:r>
    </w:p>
    <w:p>
      <w:r>
        <w:t>zur Inhalation vernebelte r Medika mente abgegeben (Mitteilung vom 19. Januar 2015, Urk. 8/293).</w:t>
      </w:r>
    </w:p>
    <w:p>
      <w:r>
        <w:rPr>
          <w:b/>
        </w:rPr>
        <w:t>E. 1.2</w:t>
      </w:r>
    </w:p>
    <w:p>
      <w:r>
        <w:t>Am 22. Juli 2016 (Urk. 8/374) ersuchte Dr. med. Z.___ , Facharzt für Kinder- und Jugendmedizin , namens des Versicherten um Vergütung der Anschaffungs k osten von Fr. 7‘324.-- für ein Ganzkörpervibrationsgerät Galileo Kiddy mit zwei Hanteln (Urk. 8/373). Mit Vorbescheid vom 22. September 2016 (Urk. 8/382) stellte die IV-Stelle dem Versicherten in Aussicht, die beantragte Kostengutsprache nicht zu erteilen, da das Gerät die an ein Behandlungsgerät gestellten Voraussetzungen nicht erfülle . Dagegen erhob der Versicherte am 6. Oktober 2016 (Urk. 8/385) Einwände und reichte verschiedene wissenschaft lich e Studien betreffend Ganzkörpervibration stherapie ein (Urk. 8/388). Wie angekündigt wies die IV-Stelle das Gesuch m it Verfügung vom 21. November 2016 (Urk. 8/395 ) ab .</w:t>
      </w:r>
    </w:p>
    <w:p>
      <w:r>
        <w:rPr>
          <w:b/>
        </w:rPr>
        <w:t>E. 2</w:t>
      </w:r>
    </w:p>
    <w:p>
      <w:r>
        <w:t>.</w:t>
      </w:r>
    </w:p>
    <w:p>
      <w:r>
        <w:rPr>
          <w:b/>
        </w:rPr>
        <w:t>E. 2.1</w:t>
      </w:r>
    </w:p>
    <w:p>
      <w:r>
        <w:t>Versicherte haben bis zum vollendeten 20. Altersjahr Anspruch auf die zur Behandlung von Geburtsgebrechen ( Art.</w:t>
      </w:r>
    </w:p>
    <w:p>
      <w:r>
        <w:rPr>
          <w:b/>
        </w:rPr>
        <w:t>E. 2.2</w:t>
      </w:r>
    </w:p>
    <w:p>
      <w:r>
        <w:t>Die medizinischen Massnahmen umfassen gemäss Art. 14 Abs. 1 IVG die Behand lung, die vom Arzt oder von der Ärztin selbst oder auf ihre Anordnung durch medizinische Hilfspersonen in Anstalts- oder Hauspflege vorgenommen wird (lit. a), mit Ausnahme von logopädischen und psychomotorischen Thera pien sowie die Abgabe der vom Arzt oder der Ärztin verordneten Arzneien (lit. b). Beim Entscheid über die Gewährung von ärztlicher Behandlung in Anstalts- oder Hauspflege ist auf den Vorschlag des behandelnden Arztes oder der behandelnden Ärztin und auf die persönlichen Verhältnisse der versicherten Person in angemessener Weise Rücksicht zu nehmen ( Art. 14 Abs.</w:t>
      </w:r>
    </w:p>
    <w:p>
      <w:r>
        <w:rPr>
          <w:b/>
        </w:rPr>
        <w:t>E. 2.3</w:t>
      </w:r>
    </w:p>
    <w:p>
      <w:r>
        <w:t>Unter Hilfsmittel im invalidenversicherungs rechtlichen Sinne ist ein Gegenstand zu verstehen, dessen Gebrauch den Ausfall gewisser Teile des menschlichen Körpers zu ersetz en vermag (BGE 131 V 9 E. 3.3; 115 V 191 E.</w:t>
      </w:r>
    </w:p>
    <w:p>
      <w:r>
        <w:t>2c mit Hinweis). Daraus ist zu schliessen, dass der Gegenstand ohne strukturelle Änderung ablegbar und wieder verwendbar sein muss.</w:t>
      </w:r>
    </w:p>
    <w:p>
      <w:r>
        <w:rPr>
          <w:b/>
        </w:rPr>
        <w:t>E. 2.4</w:t>
      </w:r>
    </w:p>
    <w:p>
      <w:r>
        <w:t>Die Artikel 3-9 der Verordnung über die Abgabe von Hilfsmitteln durch die Inva lidenversicherung (HVI) gelten sinngemäss auch für die Abgabe von Behandlungsgeräten, die einerseits nicht in der im Anhang der HVI enthaltenen Liste aufgeführt sind und andererseits einen notwendigen Bestandteil einer medizinischen Eingliederungsmassnahme im Sinne der Artikel 12 und 13 IVG bilden (Art. 1 Abs. 2 HVI). Dafür ist nach ständiger Rechtsprechung des Bun desgerichts entscheidend, ob sie in engem, unmittelbarem Zusammenhang mit der von der Invalidenversicherung übernommenen medizinischen Vorkehr ste hen ( Urteil des Bundesgerichts 8C_304/2015 vom 7. Juli 2015 E. 3.3 ). 2.</w:t>
      </w:r>
    </w:p>
    <w:p>
      <w:r>
        <w:rPr>
          <w:b/>
        </w:rPr>
        <w:t>E. 3</w:t>
      </w:r>
    </w:p>
    <w:p>
      <w:r>
        <w:t>GgV ).</w:t>
      </w:r>
    </w:p>
    <w:p>
      <w:r>
        <w:t>Nach der Rechtsprechung gilt eine Behandlungsart dann als bewährter Erkennt nis der medizinischen Wissenschaft entsprechend, wenn sie von Forschern und Praktikern der medizinischen Wissenschaft auf breiter Basis anerkannt ist. Das Schwergewicht liegt auf der Erfahrung und dem Erfolg im Bereich einer bestimmten Therapie (Urteil des Bundesgerichts 8C_523/2016 vom 27. Oktober 2016 E. 2.2 mit Hinweisen auf BGE 123 V 53 E. 2b/ aa und 115 V 191 E. 4b).</w:t>
      </w:r>
    </w:p>
    <w:p>
      <w:r>
        <w:rPr>
          <w:b/>
        </w:rPr>
        <w:t>E. 5</w:t>
      </w:r>
    </w:p>
    <w:p>
      <w:r>
        <w:t>.4</w:t>
      </w:r>
    </w:p>
    <w:p>
      <w:r>
        <w:t>Im Ergebnis ist die Sache an die Beschwerdegegnerin zurückzuweisen, damit diese nach Vornahme weiterer Abklärungen neu über den Anspruch auf die Abgabe des beantragten Behandlungsgeräts verfügt.</w:t>
      </w:r>
    </w:p>
    <w:p>
      <w:r>
        <w:rPr>
          <w:b/>
        </w:rPr>
        <w:t>E. 6</w:t>
      </w:r>
    </w:p>
    <w:p>
      <w:r>
        <w:t>00.-- als ange messen. Dem Verfahrensausgang entsprechend sind die Kosten d e r</w:t>
      </w:r>
    </w:p>
    <w:p>
      <w:r>
        <w:t>Beschwerde gegnerin aufzuerlegen . Die Einzelrichterin erkennt: 1.</w:t>
      </w:r>
    </w:p>
    <w:p>
      <w:r>
        <w:t>Die Beschwerde wird in dem Sinne gutgeheissen, dass die Verfügung vom 21. November 2016 aufgehoben und die Sache an die Sozialversicherungsanstalt des Kantons Zürich, IV-Stelle, zurückgewiesen wird, damit diese im Sinne der Erwägungen verfahre und hernac h über den Leistungsanspruch des Beschwerdeführers neu ver füge . 2.</w:t>
      </w:r>
    </w:p>
    <w:p>
      <w:r>
        <w:t>Die Gerichtskosten von Fr. 600 .-- werden der Beschwerdegegnerin auferlegt.</w:t>
      </w:r>
    </w:p>
    <w:p>
      <w:r>
        <w:t>Rech nung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