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IV.2016.01416 vom 9. Mai 2020</w:t>
      </w:r>
    </w:p>
    <w:p>
      <w:r>
        <w:t>ZH Sozialversicherungsgericht, 2020-05-09, DE</w:t>
      </w:r>
    </w:p>
    <w:p>
      <w:r>
        <w:rPr>
          <w:b/>
        </w:rPr>
        <w:t xml:space="preserve">Quelle: </w:t>
      </w:r>
      <w:r>
        <w:t>https://mcp.opencaselaw.ch/entscheid/zh_sozialversicherungsgericht_IV.2016.01416</w:t>
      </w:r>
    </w:p>
    <w:p>
      <w:r>
        <w:t>FR: ZH_SOZIALVERSICHERUNGSGERICHT IV.2016.01416 du 9 mai 2020</w:t>
      </w:r>
    </w:p>
    <w:p>
      <w:r>
        <w:t>IT: ZH_SOZIALVERSICHERUNGSGERICHT IV.2016.01416 del 9 maggio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1976, absolvierte in Griechenland eine Verkaufslehre in einer Bäckerei und eine Ausbildung als Coiffeuse . In der Schweiz arbeitete sie als Küchenhilfe und Reinigungsangestellte ( Urk. 11/93/45). Zuletzt war sie ab September 2000 im Postdienst der Y.___</w:t>
      </w:r>
    </w:p>
    <w:p>
      <w:r>
        <w:t>tätig ( Urk. 11/6/6 und 11/5). Wegen eines Wirbelsäulenleidens meldete sie sich im November 2005 bei der Sozialversicherungsanstalt des Kantons Zürich, IV-Stelle, zum Rentenbe zug an ( Urk. 11/1). Diese holte diverse medizinische Berichte ( Urk. 11/4, 11/8, 11/9, 11/12 und 11/18), einen Auszug aus dem individuellen Konto ( IK, Urk. 11/5) sowie Auskünfte bei der Arbeitgeberin ( Urk. 11/14) ein. Ferner zog sie die Akten des Krankentaggeldversicherers bei ( Urk. 11/7) und veranlasste eine n Abklä rung sbericht zur beeinträchtigten Arbeitsfähigkeit in Beruf und Haushalt , der vom 9. Dezember 2006 datiert ( Urk. 11/19). Gestützt auf eine Stellungnahme des Regionalen Ärztlichen Dienstes (RAD; Urk. 11/20/3) sprach sie der Versicherten am 1 0. April 2007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