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IV.2016.01396 vom 4. Februar 2019</w:t>
      </w:r>
    </w:p>
    <w:p>
      <w:r>
        <w:t>ZH Sozialversicherungsgericht, 2019-02-04, DE</w:t>
      </w:r>
    </w:p>
    <w:p>
      <w:r>
        <w:rPr>
          <w:b/>
        </w:rPr>
        <w:t xml:space="preserve">Quelle: </w:t>
      </w:r>
      <w:r>
        <w:t>https://mcp.opencaselaw.ch/entscheid/zh_sozialversicherungsgericht_IV.2016.01396</w:t>
      </w:r>
    </w:p>
    <w:p>
      <w:r>
        <w:t>FR: ZH_SOZIALVERSICHERUNGSGERICHT IV.2016.01396 du 4 février 2019</w:t>
      </w:r>
    </w:p>
    <w:p>
      <w:r>
        <w:t>IT: ZH_SOZIALVERSICHERUNGSGERICHT IV.2016.01396 del 4 febbraio 2019</w:t>
      </w:r>
    </w:p>
    <w:p>
      <w:pPr>
        <w:pStyle w:val="Heading2"/>
      </w:pPr>
      <w:r>
        <w:t>Erwägungen</w:t>
      </w:r>
    </w:p>
    <w:p>
      <w:r>
        <w:rPr>
          <w:b/>
        </w:rPr>
        <w:t>E. 1</w:t>
      </w:r>
    </w:p>
    <w:p>
      <w:r>
        <w:t>X.___ , geboren 1974, diplomierte Kinderkrankenschwester ( Urk. 6/1), erlitt am 2 8. April 2000 einen Verkehrsunfall mit HWS-Distorsion , als sie aus einem Kreisel fahrend das vor ihr stehende Auto zu spät wahrnahm und trotz Vollbremsung mit diesem kollidierte (Delta-v 11-17 km/h). Zum Zeitpunkt des Unfalles arbeitete sie in einem Vollpensum in der Y.___ . Die zuständige Unfallversicherung erbrachte die gesetzlichen UVG-Leistungen (Heilbehandlung, Taggelder) und stellte diese per 3. September 2009 gestützt auf das Gutachten der Z.___ , A.___ ( Urk. 6/76/4-139) ein ( Urk. 6/ 76/2-3), was durch das Bundesgericht am 9. Dezember 2011 mit Urteil 8C_730/2011 mit der Begrün dung bestätigt wurde, dass der Auffahrkollision vom 2 8. April 2000 für die noch bestehenden Beschwerden keine rechtserhebliche Bedeutung zukomme ( Urk. 6/172). Am 2 2. November 2000 meldete sich die Versicherte unter Angabe einer HWS-Distorsions-Symptomatik bei der Eidgenössischen Invalidenversicherung (IV) zum Leistungsbezug (Berufsberatung, Umschulung, Rente) an ( Urk. 6/3).</w:t>
      </w:r>
    </w:p>
    <w:p>
      <w:r>
        <w:t>Die Sozialversicherungsanstalt des Kantons Zürich, IV-Stelle, tätigte berufliche und erwerbliche Abklärungen und nahm in der Folge die berufliche Eingliederung an die Hand. Nachdem die Versicherte nach dem Un fall zuerst voll arbeitsunfä hig war, steigerte sie ihr Arbeitspensum von 25 % auf 60 % und ab August 2001 auf 70 % ( Urk. 6/16) . Die IV-Stelle übernahm im Rahmen einer Umschu lung die Kosten für eine berufsbegleitende Ausbildung in Bewegungsanalyse sowie drei Einzelseminare in Integrativer Bewegungs- und Tanz therapie mit Kindern (Verfügung vom</w:t>
      </w:r>
    </w:p>
    <w:p>
      <w:r>
        <w:t>6. November 2002, Urk. 6/3</w:t>
      </w:r>
    </w:p>
    <w:p>
      <w:r>
        <w:rPr>
          <w:b/>
        </w:rPr>
        <w:t>E. 3</w:t>
      </w:r>
    </w:p>
    <w:p>
      <w:r>
        <w:t>). Mit Verfügung vom 1 0. August 2004 wurden die beruflichen Massnahmen aufgehoben, da die Ver sicherte die Ausbildung aus gesundheitlichen Gründen aufgeben musste ( Urk. 6/50). Am 2 1. Dezember 2009 teilte die IV-Stelle der Versicherten mit, dass sie die Kosten für ein Belastbarkeitstraining bei der B.___ über nehmen werde ( Urk. 6/89). Am 1 6. Februar 2010 brach die Versicherte die Mass nahme aufgrund ihres Gesundheitszust ands ab (Schlussbericht B.___ , 1 7. Februar 2010, Urk. 6/102), worauf die IV-Stelle die berufliche Massnahme am 9. März 2010 aufhob ( Urk. 6/105). Mit Vorbescheid vom 2 2. April 2010 stellte die IV-Stelle der Versicherten ab April 2001 eine Viertelsrente , ab 1. Juli 2002 eine ganze und ab 1. April 2003 eine Dreiviertelsrente in Aussicht ( Urk. 6/111). In ihrer Stellungnahme vom 2 5. Mai 2010 beantragte die Versicherte, es sei ihr ab April 2001 eine ganze Rente auszurichten ( Urk. 6/116). Mit Verfügung vom 2 1. September 2010 bestä tigte die IV-Stelle ihren Vorbescheid vom 2 2. April 2010 ( Urk. 6/120 ; Urk. 6/122 ). Nachdem di e Versicherte am 8. Februar 2011 der IV-Stelle ein Schreiben mit Ausführungen zum Valideneinkommen zugestellt hatte ( Urk. 6/137) , hob diese am 3. März 2011 die Verfügung vom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