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IV.2016.01265 vom 23. Februar 2017</w:t>
      </w:r>
    </w:p>
    <w:p>
      <w:r>
        <w:t>ZH Sozialversicherungsgericht, 2017-02-23, DE</w:t>
      </w:r>
    </w:p>
    <w:p>
      <w:r>
        <w:rPr>
          <w:b/>
        </w:rPr>
        <w:t xml:space="preserve">Quelle: </w:t>
      </w:r>
      <w:r>
        <w:t>https://mcp.opencaselaw.ch/entscheid/zh_sozialversicherungsgericht_IV.2016.01265</w:t>
      </w:r>
    </w:p>
    <w:p>
      <w:r>
        <w:t>FR: ZH_SOZIALVERSICHERUNGSGERICHT IV.2016.01265 du 23 février 2017</w:t>
      </w:r>
    </w:p>
    <w:p>
      <w:r>
        <w:t>IT: ZH_SOZIALVERSICHERUNGSGERICHT IV.2016.01265 del 23 febbraio 2017</w:t>
      </w:r>
    </w:p>
    <w:p>
      <w:pPr>
        <w:pStyle w:val="Heading2"/>
      </w:pPr>
      <w:r>
        <w:t>Erwägungen</w:t>
      </w:r>
    </w:p>
    <w:p>
      <w:r>
        <w:rPr>
          <w:b/>
        </w:rPr>
        <w:t>E. 1</w:t>
      </w:r>
    </w:p>
    <w:p>
      <w:r>
        <w:t>Der 1965 geborene X.___ meldete sich erstmals am 23. November 2004 bei der Invalidenversicherung zum Leistungsbezug an ( Urk. 12/3). Der Rentenanspruch wurde mit Verfügung vom 6. Februar 2006 verneint (Urk. 12/40). Die von der Invalidenversicherung übernommenen beruflichen Massnahmen (Logistik-/Staplerkurs;</w:t>
      </w:r>
    </w:p>
    <w:p>
      <w:r>
        <w:t>Urk. 12/47, Urk. 12/58) schloss der Versicherte gemäss Verfügung vom 8. September 2006 erfolg reich ab (Urk. 12/63) und nahm eine entsprechende Tätigkeit auf ( Urk. 12/65).</w:t>
      </w:r>
    </w:p>
    <w:p>
      <w:r>
        <w:t>Eine wegen neuerlicher Arbeitsunfähigkeit am 1 3. Oktober 2008 erfolgte Früherfassung ( Urk. 12/65) führte zur Arbeitsplatzerhaltung ( Urk. 12/90).</w:t>
      </w:r>
    </w:p>
    <w:p>
      <w:r>
        <w:t>Nach einer weiteren Meldung zur Früherfassung ( Urk. 12/96) und einer Neuan meldung am 2 5. August 2011 ( Urk. 12/103) sprach ihm d ie Sozial ver sicherungsanstalt des Kantons Zürich, IV-Stelle,</w:t>
      </w:r>
    </w:p>
    <w:p>
      <w:r>
        <w:t>nach durchgeführtem Vorbe scheidverfahren ( Urk. 12/159) mit Verfügungen vom 1 8. März und 1. April 2015 ( Urk. 12/16 5-167 ) ab Februar 2012 eine Viertelsrente sowie zwei Kin derrenten zu.</w:t>
      </w:r>
    </w:p>
    <w:p>
      <w:r>
        <w:t>Mit Verfügung vom 1 1. Oktober 2016 ( Urk. 2) entschied die IV-Stelle , dass die beiden Kinderrenten ab dem 1. November 2016 an das Sozialamt der Ge meinde Y.___ aus b ezahlt werden .</w:t>
      </w:r>
    </w:p>
    <w:p>
      <w:r>
        <w:rPr>
          <w:b/>
        </w:rPr>
        <w:t>E. 2</w:t>
      </w:r>
    </w:p>
    <w:p>
      <w:r>
        <w:t>.</w:t>
      </w:r>
    </w:p>
    <w:p>
      <w:r>
        <w:rPr>
          <w:b/>
        </w:rPr>
        <w:t>E. 3</w:t>
      </w:r>
    </w:p>
    <w:p>
      <w:r>
        <w:t>.2</w:t>
      </w:r>
    </w:p>
    <w:p>
      <w:r>
        <w:t>Der Beschwerdeführer stellte sich demgegenüber auf den Standpunkt ( Urk. 1) ,</w:t>
      </w:r>
    </w:p>
    <w:p>
      <w:r>
        <w:t>die Unterlagen, welche die Beschwerdegegnerin 2 vor Erlass der Verfügung geprüft habe, seien ihm nicht bekannt. Indem die Verwaltung weder ein Einsprache- noch ein Einwandverfahren durchgeführt oder ihm in anderer Weise das rechtliche Gehör gewährt habe, habe sie in krasser Weise das rechtliche Gehör verletzt. Dies könne nicht durch die Gewährung des rechtli chen Gehörs im Beschwerdeverfahren geheilt werden. Ihm sei dadurch näm lich eine Instanz entzogen und er sei in ein kostenpflichtiges Verfahren ge drängt worden.</w:t>
      </w:r>
    </w:p>
    <w:p>
      <w:r>
        <w:rPr>
          <w:b/>
        </w:rPr>
        <w:t>E. 4</w:t>
      </w:r>
    </w:p>
    <w:p>
      <w:r>
        <w:t>Der Anspruch des Beschwerdeführers auf Gewährung des rechtlichen Gehörs wurde vorliegend mehrfach verletzt. In Anbetracht der gesamten Umstände muss die Gehörsverletzung als schwer bezeichnet werden, weshalb eine Hei lung im vorliegenden Verfahren nicht in Betracht fällt , zumal sich auch der Beschwerdeführer eine r solchen entgegen stellt.</w:t>
      </w:r>
    </w:p>
    <w:p>
      <w:r>
        <w:t>Die angefochtene Verfügung ist vielmehr aufzuheben und die Sache zur Gewährung des rechtlichen Ge hörs und zu neuer Verfügung an die Beschwerdegegnerin 1 zurückzuweisen.</w:t>
      </w:r>
    </w:p>
    <w:p>
      <w:r>
        <w:rPr>
          <w:b/>
        </w:rPr>
        <w:t>E. 5</w:t>
      </w:r>
    </w:p>
    <w:p>
      <w:r>
        <w:t>.2</w:t>
      </w:r>
    </w:p>
    <w:p>
      <w:r>
        <w:t>Nach ständiger Rechtsprechung gilt die Rückweisung der Sache an die Verwal tung zur weiteren Abklärung und neuen Verfügung als vollständiges Obsiegen (BGE 137 V 57) , weshalb der vertretene Beschwerdeführer An spruch auf eine Prozessentschädigung hat . Das Nichteintreten auf die gegen die Beschwerdegegnerin 2 gerichtete Beschwerde rechtfertigt vorliegend nicht, von dieser Verteilung der Prozesskosten abzuweichen. Die Prozessent schädigung w ird vom Gericht ohne Rücksicht auf den Streitwert nach der Bedeutung der Streitsache und nach der Schwierigkeit des Prozesses, dem Zeitaufwand und den Barauslagen festgesetzt (§ 34 Abs. 1 und 3 des Geset zes über das Sozialversicherungsgericht, GSVGer ). Entsprechend ist dem Be schwerdeführer</w:t>
      </w:r>
    </w:p>
    <w:p>
      <w:r>
        <w:t>nach Einsicht in die Kostennote vom 8. Februar 201</w:t>
      </w:r>
    </w:p>
    <w:p>
      <w:r>
        <w:rPr>
          <w:b/>
        </w:rPr>
        <w:t>E. 7</w:t>
      </w:r>
    </w:p>
    <w:p>
      <w:r>
        <w:t>( Urk. 1 5 ) eine Prozessentschädigung von Fr. 2 ‘ 162.85 (inkl. Barauslagen und MWSt ) auszurichten. 5 .3</w:t>
      </w:r>
    </w:p>
    <w:p>
      <w:r>
        <w:t>Das Gesuch um unentgeltliche Prozessführung und Bestellung eines unentgelt lichen Rechtsbeistandes (Urk. 1 S. 2) erweist sich damit als gegen standslos. Das Gericht erkennt: 1.</w:t>
      </w:r>
    </w:p>
    <w:p>
      <w:r>
        <w:t>Die Beschwerde wird, soweit auf sie eingetreten wird, in dem Sinne gutgeheissen, dass die angefochtene Verfügung vom 1 1. Oktober 2016</w:t>
      </w:r>
    </w:p>
    <w:p>
      <w:r>
        <w:t>aufgehoben und die Sache an die Sozialversicherungsanstalt des Kantons Zürich, IV-Stelle, zurückgewiesen wird , damit diese im Sinne der Erwägungen verfahre. 2.</w:t>
      </w:r>
    </w:p>
    <w:p>
      <w:r>
        <w:t>Das Verfahren ist kostenlos. 3.</w:t>
      </w:r>
    </w:p>
    <w:p>
      <w:r>
        <w:t>Die Beschwerdegegnerin 1 wird verpflichtet, dem Beschwerdeführer eine</w:t>
      </w:r>
    </w:p>
    <w:p>
      <w:r>
        <w:t>Prozess - ent schädigung von Fr. 2‘162.85 (inkl. Barauslagen und MWSt ) zu bezahlen. 4.</w:t>
      </w:r>
    </w:p>
    <w:p>
      <w:r>
        <w:t>Zustellung gegen Empfangsschein an: - Rechtsanwältin Dr. Claudia Schaumann, unter Beilage eines Doppels von Urk.</w:t>
      </w:r>
    </w:p>
    <w:p>
      <w:r>
        <w:rPr>
          <w:b/>
        </w:rPr>
        <w:t>E. 11</w:t>
      </w:r>
    </w:p>
    <w:p>
      <w:r>
        <w:t>sowie je einer Kopie von Urk.</w:t>
      </w:r>
    </w:p>
    <w:p>
      <w:r>
        <w:rPr>
          <w:b/>
        </w:rPr>
        <w:t>E. 13</w:t>
      </w:r>
    </w:p>
    <w:p>
      <w:r>
        <w:t>und den Beilagen 14/1-3 - Sozialversicherungsanstalt des Kantons Zürich, IV-Stelle , unter Beilage einer Ko pie von Urk.</w:t>
      </w:r>
    </w:p>
    <w:p>
      <w:r>
        <w:rPr>
          <w:b/>
        </w:rPr>
        <w:t>E. 15</w:t>
      </w:r>
    </w:p>
    <w:p>
      <w:r>
        <w:t>- Ausgleichskasse MOBIL - Bundesamt für Sozialversicherungen 5.</w:t>
      </w:r>
    </w:p>
    <w:p>
      <w:r>
        <w:t>Gegen diesen Entscheid kann innert 30 Tagen seit der Zustellung beim Bundesge 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VorsitzendeDie Gerichtsschreiberin GräubLanzicher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