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IV.2016.01122 vom 5. Januar 2018</w:t>
      </w:r>
    </w:p>
    <w:p>
      <w:r>
        <w:t>ZH Sozialversicherungsgericht, 2018-01-05, DE</w:t>
      </w:r>
    </w:p>
    <w:p>
      <w:r>
        <w:rPr>
          <w:b/>
        </w:rPr>
        <w:t xml:space="preserve">Quelle: </w:t>
      </w:r>
      <w:r>
        <w:t>https://mcp.opencaselaw.ch/entscheid/zh_sozialversicherungsgericht_IV.2016.01122</w:t>
      </w:r>
    </w:p>
    <w:p>
      <w:r>
        <w:t>FR: ZH_SOZIALVERSICHERUNGSGERICHT IV.2016.01122 du 5 janvier 2018</w:t>
      </w:r>
    </w:p>
    <w:p>
      <w:r>
        <w:t>IT: ZH_SOZIALVERSICHERUNGSGERICHT IV.2016.01122 del 5 gennaio 2018</w:t>
      </w:r>
    </w:p>
    <w:p>
      <w:pPr>
        <w:pStyle w:val="Heading2"/>
      </w:pPr>
      <w:r>
        <w:t>Erwägungen</w:t>
      </w:r>
    </w:p>
    <w:p>
      <w:r>
        <w:rPr>
          <w:b/>
        </w:rPr>
        <w:t>E. 1.1</w:t>
      </w:r>
    </w:p>
    <w:p>
      <w:r>
        <w:t>Gemäss Art. 25 Abs. 1 Satz 1 des Bundesgesetzes über den Allgemeinen Teil des Sozialversicherungsrechts (ATSG) sind unrechtmässig bezogene Leistungen zurückzuerstatten. Wer Leistungen in gutem Glauben empfangen hat, muss sie nicht zurückerstatten, wenn eine grosse Härte vorliegt ( Art. 25 Abs. 1 Satz 2 ATSG).</w:t>
      </w:r>
    </w:p>
    <w:p>
      <w:r>
        <w:rPr>
          <w:b/>
        </w:rPr>
        <w:t>E. 1.2</w:t>
      </w:r>
    </w:p>
    <w:p>
      <w:r>
        <w:t>Der gute Glaube als Erlassvoraussetzung ist nicht schon mit der Unkenntnis des Rechtsmangels gegeben. Der Leistungsempfänger darf sich vielmehr nicht nur keiner böswilligen Absicht, sondern auch keiner groben Nachlässigkeit schuldig gemacht haben (BGE 138 V 218 E. 4). So entfällt beispielsweise der gute Glaube von vornherein, wenn die zu Unrecht erfolgte Leistungsausrichtung auf eine arglistige oder grobfahrlässige Melde- oder Auskunftspflichtverletzung zurück zu führen ist (BGE 112 V 97 E. 2c).</w:t>
      </w:r>
    </w:p>
    <w:p>
      <w:r>
        <w:t>Das Verhalten, das den guten Glauben ausschliesst, braucht nicht in einer Melde- oder Anzeigepflichtverletzung zu besteh en. Auch ein anderes Verhalten fällt in Betracht (vgl. Urteil des Bundesgerichts 8C_243/2016 vom 7. Juli 2016 E. 4.1 ).</w:t>
      </w:r>
    </w:p>
    <w:p>
      <w:r>
        <w:rPr>
          <w:b/>
        </w:rPr>
        <w:t>E. 1.3</w:t>
      </w:r>
    </w:p>
    <w:p>
      <w:r>
        <w:t>Nach der Rechtsprechung ist bei der Frage nach der Gutgläubigkeit beim Leis tungsbezug zu unterscheiden zwischen dem guten Glauben als fehlendem Unrechtsbewusstsein als zum inneren Tatbestand gehörenden Tatfrage und der Rechtsf rage, ob sich jemand unter den gegebenen Umständen auf den guten Glauben berufen kann oder ob er bei zumutbarer Aufmerksamkeit den besteh en den Rechtsmangel hätte erkennen sollen (Urteil des Bundesgerichts 8C_243/2016 vom 7. Juli 2016 E. 4.2 ).</w:t>
      </w:r>
    </w:p>
    <w:p>
      <w:r>
        <w:t>2.</w:t>
      </w:r>
    </w:p>
    <w:p>
      <w:r>
        <w:t>Sowohl die Unrechtmässigkeit des Leistungsbezugs von Februar 2000 bis Oktober 2006 als auch die Rechtmässigkeit der Rückforderung im Umfang von Fr. 180‘936.-- sind rechtskräftig feststellt, dies letztinstanzlich mit Urteil des Bundesgerichts vom 1 5. Mai 2014 ( Urk. 7/162).</w:t>
      </w:r>
    </w:p>
    <w:p>
      <w:r>
        <w:t>Strittig und zu prüfen ist einzig, ob die Voraussetzungen für einen Erlass der Rückforderung (vorstehend E. 1) gegeben sind. 3. 3.1</w:t>
      </w:r>
    </w:p>
    <w:p>
      <w:r>
        <w:t>Das Bundesgericht hat in seinem Urteil vom 1 5. Mai 2014 ( Urk. 7/162 S. 8 E.</w:t>
      </w:r>
    </w:p>
    <w:p>
      <w:r>
        <w:t>4.1) zusammenfassend festgehalten, es sei erstellt, dass die Beschwerdeführerin die Rentenleistungen durch Vortäu schung eines invalidisierenden Gesundheitsschadens unrechtmässig erwirkte.</w:t>
      </w:r>
    </w:p>
    <w:p>
      <w:r>
        <w:t>Dieses Vortäuschen eines invalidisierenden Gesundheitsschadens ist auf seine Vereinbarkeit mit dem von der Beschwerdeführerin geltend gemachten guten Glauben zu prüfen. 3.2</w:t>
      </w:r>
    </w:p>
    <w:p>
      <w:r>
        <w:t>Die Rechtsprechung zieht die Grenze, die über den guten Glauben entscheidet, zwischen leichter und grober Fahrlässigkeit: Leichte Fahrlässigkeit ist mit dem guten Glauben vereinbar, grobe Fahrlässigkeit schliesst ihn aus, ebenso und um so mehr eine böswillige Absicht (vorstehend E. 1.2).</w:t>
      </w:r>
    </w:p>
    <w:p>
      <w:r>
        <w:t>Das Vortäuschen eines invalidisierenden Gesundheitsschadens hat nichts mit (leichter oder auch grober) Fahrlässigkeit zu tun, sondern ist Ausdruck eines absichtsvollen Verhaltens. Es liegt somit klar jenseits der Grenze, welche den zu bejahenden vom fehlenden guten Glauben trennt, und schliesst die Annahme der Gutgläubigkeit aus.</w:t>
      </w:r>
    </w:p>
    <w:p>
      <w:r>
        <w:t>Die Beschwerdegegnerin hat den guten Glauben der Beschwerdeführerin somit zur Recht verneint. 3.3</w:t>
      </w:r>
    </w:p>
    <w:p>
      <w:r>
        <w:t>Die Erlassvoraussetzungen des guten Glaubens und der grossen Härte müssen kumulativ erfüllt sein. Nachdem es vorliegend am guten Glauben fehlt, erweist sich die Verfügung, mit welcher die Beschwerdegegnerin das Erlassgesuch der Beschwerdeführerin abgewiesen hat, als rechtens.</w:t>
      </w:r>
    </w:p>
    <w:p>
      <w:r>
        <w:t>Die dagegen erhobene Beschwerde ist somit abzuweisen.</w:t>
      </w:r>
    </w:p>
    <w:p>
      <w:r>
        <w:rPr>
          <w:b/>
        </w:rPr>
        <w:t>E. 2</w:t>
      </w:r>
    </w:p>
    <w:p>
      <w:r>
        <w:t>D ie Versicherte erhob am 7. Oktober 2016 Beschwerde g egen die Verfügung vom 2 4. August 2016 ( Urk. 2) mit den Anträgen ( Urk. 1 S. 2), diese sei aufzu heben und es sei ihr die gesamte Rückforderung definitiv zu erlassen ( Ziff. 1), eventuell sei ihr die Rückforderung bis zum 2. März 2006 definitiv zu erlassen ( Ziff. 2), und es sei ein polydisziplinäres Ergänzungsgutachten zu ihrem Gesund heitszustand einzuholen ( Ziff. 3). Ferner beantragte sie die unentgeltliche Pro zess führun g und Rechtsvertretung ( Ziff.</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4.1</w:t>
      </w:r>
    </w:p>
    <w:p>
      <w:r>
        <w:t>Nach Gesetz und Praxis sind in der Regel die Voraus setzungen für die Bewil ligung der unentgeltlichen Prozessführung und Ver tret ung erfüllt, wenn der Pro zess nicht aussichtslos, die Partei bedürftig und die anwaltliche Ver tret ung notwendig oder doch geboten ist (BGE 103 V 46, 100 V 61, 98 V 115).</w:t>
      </w:r>
    </w:p>
    <w:p>
      <w:r>
        <w:rPr>
          <w:b/>
        </w:rPr>
        <w:t>E. 4.2</w:t>
      </w:r>
    </w:p>
    <w:p>
      <w:r>
        <w:t>Ein Verhalten, dass gerichtlich bestätigt als Vortäuschen eines invalidisierenden Gesundheitsschadens eingestuft wurde, ist einer allfälligen Gutgläubigkeit der a rt diametral entgegengesetzt, dass die erfolgte Beschwerdeführung als eindeu tig aussichtlos zu bezeichnen ist.</w:t>
      </w:r>
    </w:p>
    <w:p>
      <w:r>
        <w:rPr>
          <w:b/>
        </w:rPr>
        <w:t>E. 4.3</w:t>
      </w:r>
    </w:p>
    <w:p>
      <w:r>
        <w:t>Das Gesuch um unentgeltliche Prozessführung und Rechtsvertretung ist somit infolge Aussichtslosigkeit abzuweisen.</w:t>
      </w:r>
    </w:p>
    <w:p>
      <w:r>
        <w:rPr>
          <w:b/>
        </w:rPr>
        <w:t>E. 4.4</w:t>
      </w:r>
    </w:p>
    <w:p>
      <w:r>
        <w:t>Die Verfahrenskosten gemäss Art. 69 Abs. 1 bis des Bundesgesetzes über die Inva li denversicherung (IVG) sind ermessensweise auf Fr. 400.-- festzusetzen und ausgangsgemäss der Beschwerdeführerin aufzuerlegen. Das Gericht beschliesst: Da s Gesuch um unentgeltliche Prozessführung und Rechtsvertretung wird abge wiesen, und erkennt: 1.</w:t>
      </w:r>
    </w:p>
    <w:p>
      <w:r>
        <w:t>Die Beschwerde wird abgewiesen. 2.</w:t>
      </w:r>
    </w:p>
    <w:p>
      <w:r>
        <w:t>Die Gerichtskosten von Fr. 400 .-- werden der Beschwerdeführerin auferlegt.</w:t>
      </w:r>
    </w:p>
    <w:p>
      <w:r>
        <w:t>Rechnung und Einzahlungsschein werden der Kostenpflichtigen nach Eintritt der Rechtskraft zugestellt. 3.</w:t>
      </w:r>
    </w:p>
    <w:p>
      <w:r>
        <w:t>Zustellung gegen Empfangsschein an: - Rechtsanwältin Fiona Carol Forrer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