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IV.2016.01045 vom 28. November 2017</w:t>
      </w:r>
    </w:p>
    <w:p>
      <w:r>
        <w:t>ZH Sozialversicherungsgericht, 2017-11-28, DE</w:t>
      </w:r>
    </w:p>
    <w:p>
      <w:r>
        <w:rPr>
          <w:b/>
        </w:rPr>
        <w:t xml:space="preserve">Quelle: </w:t>
      </w:r>
      <w:r>
        <w:t>https://mcp.opencaselaw.ch/entscheid/zh_sozialversicherungsgericht_IV.2016.01045</w:t>
      </w:r>
    </w:p>
    <w:p>
      <w:r>
        <w:t>FR: ZH_SOZIALVERSICHERUNGSGERICHT IV.2016.01045 du 28 novembre 2017</w:t>
      </w:r>
    </w:p>
    <w:p>
      <w:r>
        <w:t>IT: ZH_SOZIALVERSICHERUNGSGERICHT IV.2016.01045 del 28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sächli chen Verhältnissen, die geeignet ist, den Invaliditätsgrad und damit den Renten anspruch zu beeinflussen. Insbesondere ist die Rente nicht nur bei einer wesentli 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19. September 2016 Beschwerde gegen die Verfügung vom 18. August 2016 (Urk. 2) und beantragte, diese sei aufzuheben und es sei ihm weiterhin eine Dreiviertelsrente mitsamt der entsprechenden Kinderrente zu gewähren ,</w:t>
      </w:r>
    </w:p>
    <w:p>
      <w:r>
        <w:t>e ventuell sei eine erneute Begutachtung zu veranlassen oder sub eventuell der Fall zur weiteren Abklärung des Sachverhaltes an die IV-Stelle zurückzuweisen (Urk. 1 S. 2). Mit Beschwerdeantwort vom 24. Oktober 2016 schloss die IV-Stelle a uf Aufweisung der Beschwerde (Urk. 7). Mit Gerichtsver fügung vom 22. November 2016 wurden antragsgemäss (vgl. Urk. 1 S. 3) die unentgeltliche Prozessführung und Rechtsvertretung bewilligt und dem Beschwerdeführer die Beschwerdeantwort zugestellt (vgl. Urk. 11 ) . Am 27. März 2017 reichte der Beschwerdeführer eine Replik ein (Urk. 19). Mit Schreiben vom 15. Juni 2017 verzichtete die Beschwerdegegnerin ausdrücklich auf das Einrei chen einer Duplik (Urk. 24), was dem Beschwerdeführer am 16. Juni 2017 mit geteilt wurde (Urk. 25). Das Gericht zieht in Erwägung: 1.</w:t>
      </w:r>
    </w:p>
    <w:p>
      <w:r>
        <w:rPr>
          <w:b/>
        </w:rPr>
        <w:t>E. 2.1</w:t>
      </w:r>
    </w:p>
    <w:p>
      <w:r>
        <w:t>Die Beschwerdegegnerin führte in der angefochtenen Verfügung (Urk. 2) aus, gemäss den medizinischen Abklärungen habe sich der Gesundheitszustand des Beschwerdeführers verbessert ( S.  2). Bei der psychiatrischen Begutachtung hätten weder Gedächtnis- noch Konzentrationsstörungen festgestellt werden können, das formale Denken sei im normalen Tempo, das inhaltliche Denken unauffällig und die Grundstimmung ausgeglichen gewesen . Der Beschwerde führer habe nicht über Grübelneigung , Freud-, Interessen- und Energielosigkeit geklagt. Gemäss dem Gutachten sei die Depression nicht mehr ausgewiesen. Die rheumatologische Gutachterin habe ebenfalls befunden, dass sich der Gesund heitszustand im Gegensatz zur letzten Begutachtung im Jahre 2011 deutlich verbessert habe. Nicht zuletzt habe die Schmerzmitteleinnahme weitgehend ein gestellt werden können. Die beklagten Beschwerden seien altersentsprechend. Der Einkommensvergleich sei korrekt erfolgt. Der Beschwer de führer sei in einer angepassten Tätigkeit voll arbeitsfähig und die Rente sei ein zu stellen (S. 3).</w:t>
      </w:r>
    </w:p>
    <w:p>
      <w:r>
        <w:rPr>
          <w:b/>
        </w:rPr>
        <w:t>E. 2.2</w:t>
      </w:r>
    </w:p>
    <w:p>
      <w:r>
        <w:t>Demgegenüber machte der Beschwerdeführer geltend ( Urk. 1) , entgegen der Auf fassung der Beschwerdegegnerin könne nicht von einem Revisionsgrund aus gegangen werden, es liege klar keine relevante Verbesserung des Gesund heitszustandes vor (S. 11 Rz 24). Er leide aktenkundig nach wie vor an den glei chen und bereits seit langem bekannten Einschränkungen, welche im Jahre 2012 zur Zusprache einer Dreiviertelsrente ab Oktober 2010 geführt hätten. Dass sich keine revisionsmässig relevante Veränderung eingestellt habe, beleg ten unter anderem die Arztberichte des behandelnden Arztes Dr. A.___ sowie die Stellungnahme der behandelnden Psychologin (S. 11 Rz 25). Bezüg lich des bidisziplinären Gutachtens von Dr. Y.___ und Prof. Z.___ könne lediglich von einer andere n Beurteilung eines im Wesentlichen gleichgebliebe nen Sachverhaltes ausgegangen werden (S. 11 Rz 26). Es sei nicht plausibel, wie die Gutachterin Dr. Y.___ in Anbetracht der festgehaltenen diversen Diag nosen und Beeinträchtigungen von einer 100%igen Arbeitsfähigkeit ausgehen könne. Dies insbesondere, da diese alle noch bestehen würden und gemäss dem B.___ Gutachten im Jahre 2011 noch zu einer Einschränkung von 30 % beziehungsweise 50 % geführt hätten. Eine entsprechende Begründung fehle (S. 12 Rz 32). Die von Dr. Y.___ gestellte gute Prognose widerspreche in erheblicher Weise dem bisherigen Verlauf wie auch den vorgängigen diversen fachärztlichen Einschätzungen (S. 13 Rz 33). Insgesamt sei das Gutachten von Dr. Y.___ verschiedentlich mangelhaft (S. 13 Rz 37). Auch bei der Ein schätzung durch Prof. Z.___ hinsichtlich der im Jahre 2011 als vorwiegend einschränkend erklärten Persönlichkeitsstörung liege lediglich eine andere Beur teilung eines im Wesentlichen gleichgebliebenen Sachverhaltes vor, welche revi sions rechtlich nicht relevant sei (S. 14 Rz 39). Prof. Z.___ sei zudem nicht genügend auf die geklagten Beschwerden eingegangen (S. 14 Rz 39). Betreffend die Persönlichkeit habe Prof. Z.___ ausgeführt, es würden sich Hinweise auf eine impulsive und narzisstische Persönlichkeitsakzentuierung ergeben, messe dieser Tatsache jedoch anders als im Jahre 2011 keine n Einfluss auf die Arbeitsfähigkeit zu (S. 15 Rz 41). Gemäss der Aktenlage sei es im Jahre 2011 primär die Persönlichkeitsstruktur gewesen, welche zur Attestierung der 50%igen Arbeitsunfähigkeit geführt habe. Somit sei selbst bei einem - vorlie gend bestrittenen - Wegfall der Depression keine revisionsrelevante Verbesse rung nachgewiesen (S. 15 Rz 43). Insgesamt seien die Voraussetzungen für eine Rentenrevision nicht gegeben, weshalb auch weiterhin eine Dreiviertelsrente auszurichten sei (S. 16 Rz 46). Bei der Durchführung des Einkommensverglei ches sei zudem - wie bei den beiden letzten Rentenzusprachen - ein Leidensab zug von 20 % vorzunehmen (S. 18 Rz 53 f.).</w:t>
      </w:r>
    </w:p>
    <w:p>
      <w:r>
        <w:t>Im Rahmen der Replik vom 27. März 2017 (Urk. 19) wies der Beschwerdeführer zudem darauf hin, die von Prof. Z.___ vorgenommene Änderung von sekundärer in nunmehr primärer Genese der Suchterkrankung überzeuge nicht. Insbesondere betreffend die im Jahre 2011 gutachterlich festgehaltene Persön lichkeitsstörung und die als sekundär eingestufte Suchterkrankung liege keine Veränderung vor (S. 2 Ziff. 2). Es sei zudem völlig unplausibel und nicht schlüssig, was aus rheumatologischer Sicht mit all den aktennotorischen Ein schränkungen und bildgebend dargestellten Einschränkungen geschehen sein solle beziehungsweise weshalb diese nun plötzlich betreffend die Arbeitsfähig keit keine einschränkende Rolle mehr spielen würden (S. 3 Ziff. 3). Hinzu komme, dass die diagnostischen Erwägungen in den beiden Gutachten in Anbe tracht der neuen Qualitätsleitlinien SGPP nicht überzeugen würden (S. 7 lit . a). Prof. Z.___ begründe sodann seine pauschale Annahme einer pri mären Sucht, welche nicht IV -relevant sei, nicht und verletze damit die Begrün dungs pflicht schwer (S. 7 lit . b). Auch ein ausführlicher klinisch-psychiatrischer Befund gemäss den Qualitätsleitlinien sei nicht ersichtlich (S. 7 f. lit . c). Es fehle zudem eine Fremdanamnese wie auch die Formulierung des noch zumutbaren Belastungsprofils (S. 8 lit . d-e).</w:t>
      </w:r>
    </w:p>
    <w:p>
      <w:r>
        <w:rPr>
          <w:b/>
        </w:rPr>
        <w:t>E. 2.3</w:t>
      </w:r>
    </w:p>
    <w:p>
      <w:r>
        <w:t>Strittig und zu prüfen ist, ob sich der Gesundheitszustand und die Arbeitsfähig keit des Beschwerdeführers seit der Rentenzusprache per November 2011 ver bessert haben und die Renteneinstellung demnach zu Recht erfolgt ist.</w:t>
      </w:r>
    </w:p>
    <w:p>
      <w:r>
        <w:rPr>
          <w:b/>
        </w:rPr>
        <w:t>E. 3</w:t>
      </w:r>
    </w:p>
    <w:p>
      <w:r>
        <w:t>Im Rahmen der Rentenzusprache per 1. November 2011 wurde der Beschwerde führer im Auftrag der Beschwerdegegnerin durch Ärzte de s B.___ , C.___ , vom 1 4. bis 16. Februar 2011 psychiatrisch, rheumatologisch sowie neurologisch begutachtet. In ihrem Gutachten vom 11. April 2011 nannten die Ärzte folgende Diagnosen mit Auswirkung auf die Arbeitsfähigkeit (Urk. 8/270 S. 21 Ziff. 5.1): - p sychische Verhaltensstörung durch multiplen Substanzgebrauch und Konsum anderer psychotropischer Substanzen, Cannabiskonsum, episo discher Kokainkonsum, episodischer Alkoholkonsum, wahrscheinlich Analgetikaabusus - a nhaltende somatoforme Schmerzstörung sehr wahrscheinlich - r ezidivierende depressive Störung, gegenwärtig mittelgradige Episode - k ombinierte Persönlichkeitsstörung vom asozialen und impulsiven Typus - Periarthropathie der rechten Schulter mit leichter Instabilität bei Status nach zweimaligem chirurgischen Eingriff zur Fixation nach Luxation - b eginnende Radiokarpal-Gelenksarthrose rechts bei Status nach intra arti kulärer Radiusfraktur und mehreren Rekonstruktions- und Sta bili sationseingriffen - l umbales Syndrom mit spondylogener Komponente beidseits mit beginnen den degenerativen Veränderungen mit Chondrose L5-S1 und anteriorer Spondylose sowie Chondrose L4-L5 und Lumboischialgie rechts bei Diskushernie L5-S1 anamnestisch - Status nach Malleolarfraktur Weber C links und Osteosynthese am 30.4.2007 mit malleolaren Schmerzen</w:t>
      </w:r>
    </w:p>
    <w:p>
      <w:r>
        <w:t>Als Diagnosen ohne Auswirkung auf die Arbeitsfähigkeit nannten die Ärzte sodann eine Myopie linksseitig ,</w:t>
      </w:r>
    </w:p>
    <w:p>
      <w:r>
        <w:t>einen Mikrostrabismus linksseitig ,</w:t>
      </w:r>
    </w:p>
    <w:p>
      <w:r>
        <w:t>eine Amblyopie linksseitig ,</w:t>
      </w:r>
    </w:p>
    <w:p>
      <w:r>
        <w:t>einen Astigmatismus beidseits ,</w:t>
      </w:r>
    </w:p>
    <w:p>
      <w:r>
        <w:t>einen Status nach Tonsillektomie 1982 ,</w:t>
      </w:r>
    </w:p>
    <w:p>
      <w:r>
        <w:t>einen Status nach Claviculafraktur 1989 ,</w:t>
      </w:r>
    </w:p>
    <w:p>
      <w:r>
        <w:t>einen Nikotin abusus</w:t>
      </w:r>
    </w:p>
    <w:p>
      <w:r>
        <w:t>und einen virale n Infekt der oberen Luftwege (S. 21 Ziff. 5.2).</w:t>
      </w:r>
    </w:p>
    <w:p>
      <w:r>
        <w:t>Während der psychiatrischen Untersuchung seien hysteriforme Aspekte aufge fal len. Der Beschwerdeführer sei psychomotorisch etwas agitiert, insbe sondere habe er eine lebhafte Gesichtsmimik. Das Gespräch gestalte sich insge samt verworren mit u nsicheren zeitlichen Angaben. Es seien keine schweren Störungen der Denkinhalte eruierbar , auch wenn der Beschwerdeführer para noid gefärbte Aussagen mache . Die Stimmung sei labil, manchmal euphorisch abwechselnd mit Lachen und Traurigkeit. Der Beschwerdeführer habe keine Zukunftspläne, der Lebensmut sei aber erhalten. Es bestehe eine soziale Rück zugstendenz. Sowie der Beschwerdeführer seine Schmerzen beschreibe, seien somatoforme Züge möglich. Während des Gespräches seien die Aufmerksamkeit und die Konzentration gestört und der Beschwerdeführer leicht verlangsamt gewesen (S. 23). Aus psychiatrischer Sicht bestehe aktuell eine 50%ige Arbeits unfähigkeit. Der Beschwerdeführer leide unter einer gemischten Persönlich keitsstörung sowie einer affektiven Störung und daraus habe sich sekundär ein multipler Substanzabusus entwickelt. Eine somatoforme Komponente sei wahr scheinlich, die Arbeitsfähigkeit werde aber vorwiegend durch die Persönlich keits - und affektive Störungen beeinflusst. Durch seine Krankheiten sei der Beschwerdeführer verlangsamt und habe ein Aufmerksamkeits- und Konzentra tionsdefizit. Seine sozialen Fähigkeiten seien deutlich eingeschränkt. Die Ein schränkung bestehe mit grösster Wahrscheinlichkeit seit Jahren, sei aber retro spektiv anhand der Akten und der Anamnesen nicht genau zu datieren. Prognostisch sei die Intensivierung der Psychotherapie notwendig. Der Beschwer deführer brauche eine antidepressive, eine stabilisierende und eine unter stützende Behandlung, so könne er dahin stabilisiert werden, dass eine stationäre Aufnahme zur Entzugstherapie und Tagesstrukturierung möglich werde. Eine erfolgreiche Therapie könne die Arbeitsfähigkeit verbessern (S. 26 Ziff. 8) . Die Einschränkung von 50 % gelte für sämtliche Berufe (S. 26 Ziff. 9).</w:t>
      </w:r>
    </w:p>
    <w:p>
      <w:r>
        <w:t>Im Rahmen der rheumatologischen Untersuchung zeige sich eine gut bewegli che Wirbelsäule mit einer leichten lumbalen Schmerzangabe am Ende der Bewegung. Es bestehe eine leichte Druckdolenz zervikal und lumbal sowie gluteal beidseits. Die Schulter rechts habe eine leichte Einschränkung der Abduktion und Elevation und es bestehe ein schmerzhafter Bogen. Das Radio karpalgelenk linksseitig zeige eine gute Beweglichkeit mit einem Endphasen schmerz der Volarflexion und dorsal Extension. Linksseitig bestehe eine Druck dolenz im Bereich des Malleolis</w:t>
      </w:r>
    </w:p>
    <w:p>
      <w:r>
        <w:t>lateralis und medialis . Der Beschwerdeführer habe Spreizfüsse beidseits (S. 24). Aus rheumatologischer Sicht könne der Beschwerdeführer als Aussenmitarbeiter der Telekommunikationsfirma zu 100 % eingesetzt werden. In der Arbeit als Automechaniker sei er zu 50 % limi tiert. Als Servicefachtechniker für Spielzeugautomaten könne er zu</w:t>
      </w:r>
    </w:p>
    <w:p>
      <w:r>
        <w:rPr>
          <w:b/>
        </w:rPr>
        <w:t>E. 7</w:t>
      </w:r>
    </w:p>
    <w:p>
      <w:r>
        <w:t>.2</w:t>
      </w:r>
    </w:p>
    <w:p>
      <w:r>
        <w:t>Für das Beschwerdeverfahren wurde das Gesuch des Beschwerdeführers um Bewil li gung der unentgeltlichen Rechtsvertretung mit Verfügung vom 22. No vember 2016 gutgeheissen (Urk. 11). Nachdem trotz telefonischer Auffor derung zur Einreichung einer Honorarnote am 16. November 2017 (Urk. 26) keine solche eingegangen ist, ist die Prozessentschädigung ohne Rücksicht auf den Streitwert nach der Bedeutung der Streitsache und der Schwierigkeit des Pro zesses zu bemessen (§ 34 Abs. 3 GSVGer ). Vorliegend erscheint eine Pro zess entschädigung von Fr. 3‘300.-- (inkl. Mehrwertsteuer und Barauslagen) als ange messen.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Martin Hablützel, Zürich, wird mit Fr. 3‘300 .-- (inkl. Barauslagen und MWSt ) aus der Gerichts kasse entschädigt. Der Beschwerdeführer wird auf die Nachzahlungspflicht gemäss § 16 Abs. 4 GSVGer hingewiesen. 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