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IV.2016.00993 vom 31. Mai 2017</w:t>
      </w:r>
    </w:p>
    <w:p>
      <w:r>
        <w:t>ZH Sozialversicherungsgericht, 2017-05-31, DE</w:t>
      </w:r>
    </w:p>
    <w:p>
      <w:r>
        <w:rPr>
          <w:b/>
        </w:rPr>
        <w:t xml:space="preserve">Quelle: </w:t>
      </w:r>
      <w:r>
        <w:t>https://mcp.opencaselaw.ch/entscheid/zh_sozialversicherungsgericht_IV.2016.00993</w:t>
      </w:r>
    </w:p>
    <w:p>
      <w:r>
        <w:t>FR: ZH_SOZIALVERSICHERUNGSGERICHT IV.2016.00993 du 31 mai 2017</w:t>
      </w:r>
    </w:p>
    <w:p>
      <w:r>
        <w:t>IT: ZH_SOZIALVERSICHERUNGSGERICHT IV.2016.00993 del 31 maggio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1970, meldete sich am 1 8 . Juni 1999 bei der Sozialversi cherungsanstalt des Kantons Zürich, IV-Stelle, zum Leistungsb e zug an (Urk. 5/5) . Nach Einholung eines psychiatrischen Gutachtens verfügte die</w:t>
      </w:r>
    </w:p>
    <w:p>
      <w:r>
        <w:t>IV-Stelle am 31. März 2000 die Abwei sung des Rentenanspruchs (Urk. 5 / 28 ). Die dagegen am 5. Mai 2000 erhobene Beschwerde (Urk. 5/30) hiess das hiesige Gericht mit Urteil IV.2000.00295 vom 31. Januar 2001 gut und wies die Sache zu weiteren Abklärungen</w:t>
      </w:r>
    </w:p>
    <w:p>
      <w:r>
        <w:t>und anschliessender Neuverfü gung</w:t>
      </w:r>
    </w:p>
    <w:p>
      <w:r>
        <w:t>a n die IV-Stelle zurück (Urk. 5/33 ). Die IV-Stelle veranlasste in der Folge ein e polydisziplinäre</w:t>
      </w:r>
    </w:p>
    <w:p>
      <w:r>
        <w:t>Begutachtung der Versicherten durch das Y.___ (Gutachten vom 5. Dezember 2003, Urk. 5 / 93). Mit Ve rfügung vom 14. Juli 2004 sprach die IV-Stelle der Versi cherten gestützt auf einen Invaliditätsgrad von 54 % mit Wirkung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