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IV.2016.00370 vom 28. August 2017</w:t>
      </w:r>
    </w:p>
    <w:p>
      <w:r>
        <w:t>ZH Sozialversicherungsgericht, 2017-08-28, DE</w:t>
      </w:r>
    </w:p>
    <w:p>
      <w:r>
        <w:rPr>
          <w:b/>
        </w:rPr>
        <w:t xml:space="preserve">Quelle: </w:t>
      </w:r>
      <w:r>
        <w:t>https://mcp.opencaselaw.ch/entscheid/zh_sozialversicherungsgericht_IV.2016.00370</w:t>
      </w:r>
    </w:p>
    <w:p>
      <w:r>
        <w:t>FR: ZH_SOZIALVERSICHERUNGSGERICHT IV.2016.00370 du 28 août 2017</w:t>
      </w:r>
    </w:p>
    <w:p>
      <w:r>
        <w:t>IT: ZH_SOZIALVERSICHERUNGSGERICHT IV.2016.00370 del 28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 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Bei einem Invaliditätsgrad von mindestens 40 % besteht Anspruch auf eine Viertelsrente, bei einem Invaliditätsgrad von mindestens 50 % auf eine halbe Rente, bei einem Invaliditätsgrad von mindestens 60 % auf eine Dreiviertels rente und bei einem Invaliditätsgrad von mindestens 70 % auf eine ganze Rente (Art. 28 Abs. 2 IVG).</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 kommen), in Bezie hung gesetzt zum Erwerbseinkommen, das sie erz ielen könnte, wenn sie nicht in valid geworden wäre (sog. Valideneinkommen). Der Ein 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1.3.2</w:t>
      </w:r>
    </w:p>
    <w:p>
      <w:r>
        <w:t>) — in die Invaliditätsgradberechnung einfliesst, während bei zu 100 % im Haushaltsbereich qualifizierten Versicherten die Anwendung der spezifischen Methode direkt zum Gesamtinvaliditätsgrad führt. Es kann damit nicht massgebend sein, ob je nach Beurteilung anlässlich der Haushaltsabklä rung der Versicherten neu ein reduziertes Erwerbspensum zuerkannt wird, wobei ein minimalstes Erwerbspensum von 1 % bereits ausreichen würde, oder eine Umqualifizierung in eine vollzeitige Tätigkeit im Haushaltsbereich erkannt wird, was im ersten Fall zum</w:t>
      </w:r>
    </w:p>
    <w:p>
      <w:r>
        <w:t>weiterhin bestehenden Anspruch auf die bisherige Rente und im letzteren Fall zum Rentenverlust führen würde. Eine solche</w:t>
      </w:r>
    </w:p>
    <w:p>
      <w:r>
        <w:t>Sichtweise ergibt sich auch aus dem Urteil des Bundesgerichts 9C _ 604/2016 vom 1. Februar 2017 (BGE 143 I 60) nicht (zum von der Beschwerdegegnerin zitierten Urteil vgl. Urk. 11). Letztlich erfolgte aber auch vorliegend, wie im EGMR-Entscheid Di Trizio, die neue Invaliditätsbemessun g allein aus familiären Gründen — zufolge der Geburt der beiden Söhne. Damit liegt eine Konstellation mit ähnlicher Ausgangslage wie im Fall die Trizio vor und die Herabsetzung der Invalidenrente ist damit EMRK-widrig .</w:t>
      </w:r>
    </w:p>
    <w:p>
      <w:r>
        <w:rPr>
          <w:b/>
        </w:rPr>
        <w:t>E. 1.3.3</w:t>
      </w:r>
    </w:p>
    <w:p>
      <w:r>
        <w:t>Bei nichterwerbstätigen Versicherten, die im Aufgabenbereich tätig sind und denen eine Erwerbstätigkeit nicht zugemutet werden kann, wird für die Bemessung der Invalidität in Abweichung von Art. 16 ATSG darauf abgestellt, in welchem Masse sie unfähig sind, sich im Aufgabenbereich zu betätigen. Art.</w:t>
      </w:r>
    </w:p>
    <w:p>
      <w:r>
        <w:rPr>
          <w:b/>
        </w:rPr>
        <w:t>E. 1.4</w:t>
      </w:r>
    </w:p>
    <w:p>
      <w:r>
        <w:t>Ändert sich der Invaliditätsgrad einer Rentenbezügerin oder eines Renten bezü gers erheblich, so wird die Rente von Amtes wegen oder auf Gesuch hin für die Zukunft entsprechend erhöht, herabgesetzt oder aufgehoben (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 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2. 1 mit Hin weisen). 2.</w:t>
      </w:r>
    </w:p>
    <w:p>
      <w:r>
        <w:rPr>
          <w:b/>
        </w:rPr>
        <w:t>E. 2</w:t>
      </w:r>
    </w:p>
    <w:p>
      <w:r>
        <w:t>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w:t>
      </w:r>
    </w:p>
    <w:p>
      <w:r>
        <w:rPr>
          <w:b/>
        </w:rPr>
        <w:t>E. 2.1</w:t>
      </w:r>
    </w:p>
    <w:p>
      <w:r>
        <w:t>Die Beschwerdegegnerin begründete die Rentenaufhebung damit, dass die neu als zu 100 % im Haushaltsbereich tätig zu qualifizierende Beschwerdeführerin gemäss den Abklärungen der Aussendienstmitarbeiterin im Haushalt zu 20 % eingeschränkt sei (Urk. 2 S. 2 f.). Zudem verneinte sie die Anwendbarkeit der Rechtsprechung zum Urteil des EGMR in Sachen „Di Trizio “ auf den vorliegen den Fall mit der Begründung, es liege nicht ein Statuswechsel von einer Voller werbstätigkeit zu einer Teilerwerbstätigkeit, sondern von einer Vollerwerbstä tigkeit zu einer Tätigkeit im Haushaltsbereich vor (Urk. 11 ).</w:t>
      </w:r>
    </w:p>
    <w:p>
      <w:r>
        <w:rPr>
          <w:b/>
        </w:rPr>
        <w:t>E. 2.2</w:t>
      </w:r>
    </w:p>
    <w:p>
      <w:r>
        <w:t>Die Beschwerdeführerin stellte sich demgegenüber auf den Standpunkt (Urk. 1), auf den Abklärungsbericht im Haushaltsbereich könne nicht abgestellt werden, da dieser in verschiedener Hinsicht nicht rechtskonform zustande gekommen sei (S. 3 ff.). Auch müsste die Beschwerdeführerin im Gesundheitsfall aus finan ziellen Gründen einer 100%igen Erwerbstätigkeit nachgehen, und bei einer Gegenüberstellung der entsprechenden Validen- und Invalideneinkommen ergebe sich ein Invaliditätsgrad von 70 % und damit bestehe Anspruch auf eine ganze IV-Rente (S. 14 f).</w:t>
      </w:r>
    </w:p>
    <w:p>
      <w:r>
        <w:t>Unter Bezugnahme auf die Rechtsprechung im EGMR -Urteil in Sachen „Di</w:t>
      </w:r>
    </w:p>
    <w:p>
      <w:r>
        <w:t>Trizio“ machte sie weiter geltend, die Rentenaufhebung</w:t>
      </w:r>
    </w:p>
    <w:p>
      <w:r>
        <w:t>sei aufgrund einer neuen Bemessung des Invaliditätsgrades einzig aufgrund der Geburt der beiden Kinder und damit verbunden mit einem Statuswechsel erfolgt. Dies sei EMRK widrig ( Urk. 9) . 3.</w:t>
      </w:r>
    </w:p>
    <w:p>
      <w:r>
        <w:rPr>
          <w:b/>
        </w:rPr>
        <w:t>E. 3</w:t>
      </w:r>
    </w:p>
    <w:p>
      <w:r>
        <w:t>IVG; gemischte Methode der Invaliditätsbemessung).</w:t>
      </w:r>
    </w:p>
    <w:p>
      <w:r>
        <w:rPr>
          <w:b/>
        </w:rPr>
        <w:t>E. 3.1</w:t>
      </w:r>
    </w:p>
    <w:p>
      <w:r>
        <w:t>Medizinische Grundlage der Rentenzusprache ab September 2010 bildete insbe sondere das psychiatrische Gutachten von Dr. med. Y.___, Fach ärztin für Kinder und Jugendpsychiatrie/-psychotherapie, vom 10. Dezember 2011 (Urk. 7/149). Hierbei wurde der Beschwerdeführerin aufgrund einer seit der Kindheit bestehenden geistigen Behinderung mit der Diagnose einer leichten Intelligenzminderung (ICD-10 F70.1) eine Restarbeitsfähigkeit von 50 % attestiert (Urk. 7/149 S. 7 f. und Stellungnahme des regionalen ärztlichen Dienstes vom 15. Dezember 2011, Urk. 7/173 S. 22, und vom 15. März 2012, Urk. 7/173 S. 24). Sodann wurde die Beschwerdeführerin b is zur Einleitung des Revisionsverfahrens im Juli 2015 als zu 100 % im Erwerbsbereich tätig qualifi ziert ( Urk. 7/173/26 -27 ). Die von der Beschwerdegegnerin vorgenommene, von der Beschwerdeführerin jedoch bestrittene Umqualifizierung zu einer 100%igen Tätigkeit im Haushaltsbereich, erfolgte ausschliesslich unter dem Gesichtspunkt der Geburt von zwei Söhnen in den Jahren 2013 und 2015 (vgl. Urk. 7/239 S. 4). Dabei ist unbestritten, dass sich der Gesundheitszustand der Beschwerde führerin seit der Rentenzusprache nicht verändert hat. Dafür ergeben sich auch aus den Akten keine Anhaltspunkte.</w:t>
      </w:r>
    </w:p>
    <w:p>
      <w:r>
        <w:rPr>
          <w:b/>
        </w:rPr>
        <w:t>E. 3.2</w:t>
      </w:r>
    </w:p>
    <w:p>
      <w:r>
        <w:t>Da die Änderung der Qualifikation (Statusfrage, Veränderung der Tätigkeitsan-teile) einen Revisionsgrund darstellt (Urteil des Bundesgerichts 9C_915/2012 E. 2), hat – grundsätzlich unabhängig davon, ob es zusätzlich auch zu einer Veränderung des Gesundheitszustandes gekommen ist (Urk. 1 S. 7 ff.) – eine umfassende Neuüberprüfung des Rentenanspruchs der Beschwerdeführerin zu erfolgen (BGE 141 V 9 E. 2.3).</w:t>
      </w:r>
    </w:p>
    <w:p>
      <w:r>
        <w:rPr>
          <w:b/>
        </w:rPr>
        <w:t>E. 3.2.1</w:t>
      </w:r>
    </w:p>
    <w:p>
      <w:r>
        <w:t>Das Bundesgericht hat jedoch im Revisionsentscheid BGE 143 I 50 im Nachgang zum Urteil des Europäischen Gerichtshofes für Menschenrechte (EGMR; Zweite Kammer) in Sachen Di Trizio gegen die Schweiz vom 2. Februar 2016 (Nr. 7186/09) in Erwägung 4.2 festgehalten, dass zur Herstellung des konventions-konformen Zustandes in Konstellationen mit einer ähnlichen Aus gangslage wie im Fall Di Trizio auf die Aufhebung der Invalidenrente im Sinne von Art. 17 Abs. 1 ATSG alleine zufolge eines Statuswechsels von „voll erwerbstätig“ zu „teilerwerbstätig mit Aufgabenbereich“ zu verzichten sei. In diesem Fall sei die Aufhebung der Invalidenrente EMRK-widrig. Versicherte, welche unter dem Status einer Vollerwerbstätigen eine Invalidenrente bean spruchen konnten und diese zu einem späteren Zeitpunkt allein aufgrund des Umstandes verlieren würden, dass sie wegen der Geburt ihres Kindes und der damit einhergehenden Reduktion des Erwerbspensums für die Invaliditäts bemessung neu als Teiler-werbstätige mit einem Aufgabenbereich qualifiziert werden, haben damit wei-terhin Anspruch auf die bisherige Rente (vgl. etwa BGE 143 I 50 E. 4.1).</w:t>
      </w:r>
    </w:p>
    <w:p>
      <w:r>
        <w:rPr>
          <w:b/>
        </w:rPr>
        <w:t>E. 3.2.2</w:t>
      </w:r>
    </w:p>
    <w:p>
      <w:r>
        <w:t>Im BGE 143 I 60 E. 3.3.4 hielt das Bundesgericht zudem fest, dass nicht nur die revisionsweise Aufhebung, sondern auch die revisionsweise Herabsetzung einer Invalidenrente EMRK-widrig sei, wenn allein familiäre Gründe (die Geburt von Kindern und die damit einhergehende Reduktion des Erwerbspensums) für einen Statuswechsel von „vollerwerbstätig" zu „teilerwerbstätig mit Aufgabenbereich" sprächen. Der versicherten Person sei diesfalls die laufende Rente weiter auszu-richten.</w:t>
      </w:r>
    </w:p>
    <w:p>
      <w:r>
        <w:rPr>
          <w:b/>
        </w:rPr>
        <w:t>E. 3.3</w:t>
      </w:r>
    </w:p>
    <w:p>
      <w:r>
        <w:t>Die von der Beschwerdegegnerin angeordnete Rentenaufhebung ergibt sich allein daraus, dass sie die Beschwerdeführerin für die Invaliditätsbemessung seit der Geburt der beiden Kinder nicht mehr als vollerwerbstätig, sondern als voll zeitig im Haushaltsbereich tätig betrachtet hat. Dieser als Revisionsgrund gel tende Statuswechsel hat grundsätzlich zur Folge, dass ihre Invalidität nicht mehr anhand eines (auf Vollerwerbstätige anwendbaren und von der IV-Stelle demzufolge vor der Geburt des ersten Kindes der Beschwerdeführerin angewen deten) Einkommensvergleichs (wie er der Verfügung vom 3. September 2012 zugrunde lag), sondern nach der spezifische n Methode (vgl. E. 1.3.3) ermittelt wurde.</w:t>
      </w:r>
    </w:p>
    <w:p>
      <w:r>
        <w:rPr>
          <w:b/>
        </w:rPr>
        <w:t>E. 3.4</w:t>
      </w:r>
    </w:p>
    <w:p>
      <w:r>
        <w:t>Gestützt auf die oben zitierte bundesgerichtliche Rechtsprechung (E. 3.2.1 f. hiervor) ist in Anbetracht der neuen Invaliditätsbemessung allein aus familiären Gründen die Herabsetzung der Invalidenrente EMRK-widrig. Diese Recht spre chung hat folgerichtig nicht nur für Sachverhalte zu gelten, bei denen die neue Invaliditätsbemessung aufgrund des Wechsels einer vollen Erwerbs tätigkeit in eine teilzeitige Erwerbstätigkeit mit Aufgabenbereich (Haushalts bereich) erfolgt, sondern auch dann, wenn die neue Invaliditätsbemessung gestützt auf familiäre Gründe den Wechsel einer bislang als voll</w:t>
      </w:r>
    </w:p>
    <w:p>
      <w:r>
        <w:t>erwerbstätig anerkannten Ver sicherte n zu einer nunmehr als vollzeitig</w:t>
      </w:r>
    </w:p>
    <w:p>
      <w:r>
        <w:t>im Haushaltsbereich qualifizierten Versicherten zur Folge hat. Denn die beiden Konstellationen unterscheiden sich einzig dadurch, dass im Fall einer Teilzeiterwerbstätigkeit die spezifische Met hode nur als Teilinvaliditätsgrad — entsprechend dem prozentualen Anteil (vgl. E.</w:t>
      </w:r>
    </w:p>
    <w:p>
      <w:r>
        <w:rPr>
          <w:b/>
        </w:rPr>
        <w:t>E. 3.5</w:t>
      </w:r>
    </w:p>
    <w:p>
      <w:r>
        <w:t>Für die Beschwerdeführerin bedeutet dies, dass sie weiterhin Anspruch auf die bisherige Dreiviertelsrente zuzüglich Kinderrenten hat, insoweit keine gesund heitliche Veränderung oder andere Revisionsgründe ausgewiesen sind.</w:t>
      </w:r>
    </w:p>
    <w:p>
      <w:r>
        <w:t>Eine gesundheitliche Veränderung liegt nicht vor, so dass sich Weiterungen betreffend die von der Beschwerdeführerin beantragte ganze Invalidenrente als aussichtslos erübrigen, und Anhaltspunkte für andere Revisionsgründe ergeben sich keine (vgl. E. 3.1). Vor diesem Hintergrund rechtfertigen sich auch keine neue Berechnung des Invaliditätsgrades oder die Durchführung von weiteren Abklärungen (vgl. zum Antrag der Beschwerdeführerin, Urk. 1 S. 12 f.).</w:t>
      </w:r>
    </w:p>
    <w:p>
      <w:r>
        <w:t>Die Beschwerde ist folglich in diesem Sinne teilweise gutzuheissen, dass die Beschwerdeführerin weiterhin Anspruch auf die bisherige Dreiviertelsrente zuzüglich Kinderrenten hat.</w:t>
      </w:r>
    </w:p>
    <w:p>
      <w:r>
        <w:rPr>
          <w:b/>
        </w:rPr>
        <w:t>E. 3.6</w:t>
      </w:r>
    </w:p>
    <w:p>
      <w:r>
        <w:t>Bei diesem Verfahrensausgang kann offen bleiben, ob die Beschwerdeführerin aufgrund ihrer Aussagen anlässlich der Haushaltabklärung betreffend ihre berufliche Situation ohne Gesundheitsschaden (Urk. 7/239/3-4) tatsächlich als Nichterwerbstätige zu qualifizieren wäre. Denn in Anbetracht ihrer gesundheit lichen Beeinträchtigung ist es doch zumindest zweifelhaft, ob sie die Frage nach der hypothetischen Erwerbstätigkeit, die sie zunächst immerhin mit 40 % bezifferte (Urk. 7/239/4 oben), erfasst hat und zuverlässig zu beantworten ver mochte.</w:t>
      </w:r>
    </w:p>
    <w:p>
      <w:r>
        <w:t>Darüber hinaus wäre noch zu prüfen, ob hinsichtlich der Einschränkung im Haus halt allein auf den entsprechenden Abklärungsbericht (Urk. 7/239) abge stellt werden könnte. Denn dieser ist seiner Natur nach in erster Linie auf die Ermittlung des Ausmasses physisch bedingter Beeinträchtigungen zuge schnitten, weshalb seine grundsätzliche Massgeblichkeit unter Umständen Ein schränkungen erfahren kann, wenn die versicherte Person an psychischen Beschwerden leidet</w:t>
      </w:r>
    </w:p>
    <w:p>
      <w:r>
        <w:t>( Urteile des Bundesgerichts 8C_817/2013 vom 2 8. Mai 2014 E. 5.1, 9C_986/2009 vom 1 1. November 2010 E. 7.2 und 9C_631/2009 vom 2.</w:t>
      </w:r>
    </w:p>
    <w:p>
      <w:r>
        <w:t>Dezember 2009 E. 5.1.2, je mit Hinweisen).</w:t>
      </w:r>
    </w:p>
    <w:p>
      <w:r>
        <w:t>Eine fachmedizinische Ein schätzung in Bezug auf die Fähigkeit der versicherten Person, ihre gewohnten Aufgaben zu erfüllen, wäre hier wohl unabdingbar. Zu bemerken ist dies bezüg lich, dass nicht ohne weiteres nachvollziehbar ist, dass die seinerzeit von Dr. Y.___ formulierten Behinderungen (kann nur einfache Infor mationen verstehen, komplexere Zusammenhänge vermag sie nicht zu begrei fen, kann keine neu auftretenden Probleme selbständig lösen, benötigt bei der Arbeit viel mehr Betreuung als Gesunde, vermindertes Arbeitstempo; Urk. 7/149/8) in der vielseitigen und anspruchsvollen Tätigkeit in einem Vier personenhaushalt mit zwei Kleinkindern nur zu einer Einschränkung von 19.5 % führen soll. 4.</w:t>
      </w:r>
    </w:p>
    <w:p>
      <w:r>
        <w:t>Nach Art. 69 Abs. 1 bis IVG ist das Beschwerdeverfahren bei Streitigkeiten um die Bewilligung oder die Verweigerung von Leistungen der Invalidenversi cherung in Abweichung von Art. 61 lit. a ATSG vor dem kantonalen Versiche rungsgericht kostenpflichtig. Die Kosten werden nach dem Verfahrensaufwand und unabhängig vom Streitwert im Rahmen von Fr. 200.-- bis Fr. 1'000.-- fest gelegt. Entsprechend dem Ausgang des Verfahrens sind die ermessensweise auf Fr. 1‘000.-- festzusetzenden Gerichtskosten von der unterliegenden Beschwer degegnerin zu tragen.</w:t>
      </w:r>
    </w:p>
    <w:p>
      <w:r>
        <w:t>Ausgangsgemäss ist der anwaltlich vertretenen Beschwerdeführerin gestützt auf Art. 61 lit. g ATSG in Verbindung mit § 34 Abs. 1 und 3 des Gesetzes über das Sozialversicherungsgericht (GSVGer) eine Parteientschädigung zuzusprechen, wobei ein Betrag von Fr. 2'000.-- (inklusive Barauslagen und Mehrwertsteuer) als angemessen erscheint. Das Gericht erkennt: 1.</w:t>
      </w:r>
    </w:p>
    <w:p>
      <w:r>
        <w:t>In teilweiser Gutheissung der Beschwerde wird die Verfügung der Sozialversiche rungs anstalt des Kantons Zürich, IV-Stel le, vom 22. Februar 2016 aufgehoben und es wird festgestellt, dass die Beschwerdeführerin weiterhin Anspruch auf die bisherige</w:t>
      </w:r>
    </w:p>
    <w:p>
      <w:r>
        <w:t>Dreiviertelsrente zuzüglich Kinderrenten hat. Im Übrigen wird die Beschwerde abge wiesen. 2.</w:t>
      </w:r>
    </w:p>
    <w:p>
      <w:r>
        <w:t>Die Gerichtskosten von Fr. 1‘0 00.-- werden der Bes chwerdegegnerin auferlegt. Rech nung und Einzahlungsschein werden der Kostenpflic htigen nach Eintritt der Rechts kraft zugestellt. 3.</w:t>
      </w:r>
    </w:p>
    <w:p>
      <w:r>
        <w:t>Die Beschwerdegegnerin wird verpflichtet, der Beschwe rdeführerin eine Prozessent schädigung von Fr. 2‘000 .-- (inkl. Barauslagen und MWSt) zu bezahlen. 4.</w:t>
      </w:r>
    </w:p>
    <w:p>
      <w:r>
        <w:t>Zustellung gegen Empfangsschein an: - Rechtsanwältin Dr. Kathrin Hässig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VorsitzendeDer Gerichtsschreiber GräubNef</w:t>
      </w:r>
    </w:p>
    <w:p>
      <w:r>
        <w:rPr>
          <w:b/>
        </w:rPr>
        <w:t>E. 7</w:t>
      </w:r>
    </w:p>
    <w:p>
      <w:r>
        <w:t>Abs. 2 ATSG ist sinngemäss anwendbar ( Art. 28a Abs. 2 IVG in Verbin dung mit Art.</w:t>
      </w:r>
    </w:p>
    <w:p>
      <w:r>
        <w:rPr>
          <w:b/>
        </w:rPr>
        <w:t>E. 8</w:t>
      </w:r>
    </w:p>
    <w:p>
      <w:r>
        <w:t>Abs. 3 ATSG; spezifische Methode; statt vieler BGE 130 V 97 E.</w:t>
      </w:r>
    </w:p>
    <w:p>
      <w:r>
        <w:t>3.3.1). Als Aufgabenbereich der im Haushalt tätigen Versicherten gelten ins be sondere die übliche Tätigkeit im Haushalt, die Erziehung der Kinder sowie gemeinnützige und künstlerische Tätigkeiten ( Art. 27 IVV).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