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IV.2016.00004 vom 21. Juni 2016</w:t>
      </w:r>
    </w:p>
    <w:p>
      <w:r>
        <w:t>ZH Sozialversicherungsgericht, 2016-06-21, DE</w:t>
      </w:r>
    </w:p>
    <w:p>
      <w:r>
        <w:rPr>
          <w:b/>
        </w:rPr>
        <w:t xml:space="preserve">Quelle: </w:t>
      </w:r>
      <w:r>
        <w:t>https://mcp.opencaselaw.ch/entscheid/zh_sozialversicherungsgericht_IV.2016.00004</w:t>
      </w:r>
    </w:p>
    <w:p>
      <w:r>
        <w:t>FR: ZH_SOZIALVERSICHERUNGSGERICHT IV.2016.00004 du 21 juin 2016</w:t>
      </w:r>
    </w:p>
    <w:p>
      <w:r>
        <w:t>IT: ZH_SOZIALVERSICHERUNGSGERICHT IV.2016.00004 del 21 giugno 2016</w:t>
      </w:r>
    </w:p>
    <w:p>
      <w:pPr>
        <w:pStyle w:val="Heading2"/>
      </w:pPr>
      <w:r>
        <w:t>Erwägungen</w:t>
      </w:r>
    </w:p>
    <w:p>
      <w:r>
        <w:rPr>
          <w:b/>
        </w:rPr>
        <w:t>E. 1.1</w:t>
      </w:r>
    </w:p>
    <w:p>
      <w:r>
        <w:t>Der 1954 geborene X.___ wurde 2006 infolge von Rückenschmerzen und einer Gehbehinderung nach einer Tumorex s tirpation in der Wirbelsäule ( Urk. 6/9/1-2, Urk. 6/9/7) von der Invalidenversicherung mit verschiedenen Hilfsmitteln versorgt (Verfügungen vom 30. August 2006 betreffend Kosten gutsprache für Arbeitsstuhl und Arbeitstisch [Urk. 6/19], vom 31. August 2006 betreffend Kostengutsprache für Änderungen am Motorfahrzeug [Urk. 6/20] sowie vom 15. September 2006 betreffend Kostengutsprache für Fahrschulung [Urk. 6/22]).</w:t>
      </w:r>
    </w:p>
    <w:p>
      <w:r>
        <w:t>Am 13. Februar 2009 meldete sich der Versicherte aufgrund von Hörproblemen zur Hörgeräteversorgung bei der Sozialversicherungsanstalt des Kantons Zürich, IV-Stelle, an (Urk. 6/23-2 4). Mit Mitteilung vom 29. Juni 2009 erteilte die IV-Stelle Kostengutsprache für ein Hörgerät gemäss der damaligen Indikationsstufe eins im Betrag von Fr. 1‘689.30 (Urk. 6/32).</w:t>
      </w:r>
    </w:p>
    <w:p>
      <w:r>
        <w:rPr>
          <w:b/>
        </w:rPr>
        <w:t>E. 1.2</w:t>
      </w:r>
    </w:p>
    <w:p>
      <w:r>
        <w:t>Am 1. September 2015 ersuchte der Versicherte um erneute Hörgeräteversor gung (Urk. 6/34). Durch seinen Hörgeräte lieferanten machte er geltend, dass die bisherigen Hörgeräte nicht mehr den heutigen akustischen Anforderungen genügten (Urk. 6/33). Nach Einholung einer ärztliche n Expertise von Dr. med. Y.___ , Facharzt für Hals-, Nasen-, Ohrenkrankheiten ( Bericht vom 11. September 2015; Urk. 6/36), stellte die Verwaltung dem Versicherten mit Vor bescheid vom 29. Oktober 2015 die Ablehnung der Kostengutsprache in Aussicht (Urk. 6/37) und verfügte am 8. Dezember 2015 im angekündigten Sinne (Urk. 2).</w:t>
      </w:r>
    </w:p>
    <w:p>
      <w:r>
        <w:rPr>
          <w:b/>
        </w:rPr>
        <w:t>E. 2</w:t>
      </w:r>
    </w:p>
    <w:p>
      <w:r>
        <w:t>Gegen die Verfügung vom 8. Dezember 2015 erhob X.___ am 2. Januar 2016 Beschwerde mit dem Rechtsbegehren um Kostengutsprache für eine Hörgerätepauschale (Urk. 1). Mit Beschwerdeantwort vom 2. Februar 2016 schloss die Verwaltung auf Abweisung der Beschwerde (Urk. 5), worüber der Beschwerdeführer am 3. Mai 2016 orientiert wurde (Urk. 7). Die Einzelrichterin zieht in Erwägung: 1.</w:t>
      </w:r>
    </w:p>
    <w:p>
      <w:r>
        <w:t>Da der Streitwert Fr. 20’000.-- nicht übersteigt, fällt die Beurteilung der Beschwerde in die einzelrichterliche Zuständigkeit ( § 11 Abs. 1 des Gesetzes über das Sozialversicherungsgericht).</w:t>
      </w:r>
    </w:p>
    <w:p>
      <w:r>
        <w:rPr>
          <w:b/>
        </w:rPr>
        <w:t>E. 2.1</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w:t>
      </w:r>
    </w:p>
    <w:p>
      <w:r>
        <w:rPr>
          <w:b/>
        </w:rPr>
        <w:t>E. 2.2</w:t>
      </w:r>
    </w:p>
    <w:p>
      <w:r>
        <w:t>Mit Vorbescheid vom 29. Oktober 2015 (Urk. 6/37) und gleichlautender Verfügung vom 8. Dezember 2015 ( Urk. 2)</w:t>
      </w:r>
    </w:p>
    <w:p>
      <w:r>
        <w:t>begründete die Beschwerdegegnerin ihren Entscheid wie folgt: Wir haben den Anspruch auf Hilfsmittel geprüft. Hörgeräte können bei Schwerhörigkeit abgegeben werden, wenn sie das Hörver mögen deutlich verbessern und sich die versicherte Person wesentlich besser mit der Umwelt verständigen kann. Der Anspruch muss</w:t>
      </w:r>
    </w:p>
    <w:p>
      <w:r>
        <w:t>fachärztlich begründet sein. Die Invalidenversicherung kann einen Pauschalbetrag an die Hörgeräteversorgung entrichten, wenn der binaurale Gesamt-Hörverlust mindestens 20 % beträgt. Bei einem Gesamt- Hörverlust zwischen 15 bis 20 % kann ein Pauschalbetrag entrich tet werden, sofern zusätzlich die Voraussetzungen „Hochtonabfall oder Verstehen im Störlärm &gt;</w:t>
      </w:r>
    </w:p>
    <w:p>
      <w:r>
        <w:rPr>
          <w:b/>
        </w:rPr>
        <w:t>E. 2.3</w:t>
      </w:r>
    </w:p>
    <w:p>
      <w:r>
        <w:t>In dieser allgemein gehaltenen Formulierung kann keine rechtsgenügliche Begrün dung erblickt werden. Mangels einer eigentlichen Auseinandersetzung mit den konkreten Einwänden und den auf den Einzelfall bezogenen Gegeben heiten lässt sich nicht erkennen, mit welchen Überlegungen der Anspruch des Beschwerdeführers auf Hörgeräteversorgung verworfen worden war .</w:t>
      </w:r>
    </w:p>
    <w:p>
      <w:r>
        <w:t>Insbeson dere lässt sich nicht erkennen, aus welchen Gründen der Anspruch des Beschwerdeführers auf binaurale Versorgung verneint wurde und ob ein Anspruch auf (erneute) monaurale Versorgung geprüft wurde.</w:t>
      </w:r>
    </w:p>
    <w:p>
      <w:r>
        <w:t>Mithin leidet die angefochtene Verfügung an einem schwerwiegenden Begrün dungs mangel , welcher eine sorgfältige Meinungsbildung des Beschwerdeführers darüber, ob und gegebenenfalls mit welcher Argumentation er die Leistungs ablehnung anfechten soll, verunmöglichte. Der Beschwerdeführer wurde gewissermassen auf den Gerichtsweg gezwungen, um allenfalls die Entschei dungsgründe der Beschwerdegegnerin zu erfahren. Dies kann nicht im Sinne der Verfahrensökonomie liegen und erweist sich auch unter Berücksichtigung der Kostenpflicht des Beschwerdeverfahrens ( Art. 69 Abs. 1 bis IVG) als stossend . Sodann kann es nicht Sinn des durch die Rechtsprechung geschaffenen Instituts der Heilung des rechtlichen Gehörs sein, dass die Verwaltung sich über den elementaren Grundsatz des rechtlichen Gehörs hinwegsetzt und darauf vertraut, dass der Verfahrensmangel in einem etwaigen Prozess behoben werde (vgl. BGE 116 V 182 E. 3c) und das Gericht womöglich anstelle der Versäumnisse im Verwaltung s verfahren eine rechtsgenügliche Begründung verfasse.</w:t>
      </w:r>
    </w:p>
    <w:p>
      <w:r>
        <w:t>Darüber hinaus unterliess es die Beschwerdegegnerin in ihrer Vernehmlassung vom 2. Februar 2016 die Gründe für ihren negativen E ntscheid nachzuliefern (Urk. 5). Den aufgelegten Akten liegt auch kein Feststellungsblatt bei, so dass dem Gericht verschlossen bleibt, welche Überlegungen die Beschwerdegegnerin zu ihrem Entscheid bewogen haben. Daher besteht für das Gericht kein Anlass, die Gehörsverletzung im vorliegenden Verfahren als geheilt zu betrachten . Demzufolge ist die angefochtene Verfügung vom 8. Dezember 2015 (Urk. 2) bereits aus diesem Grund aufzuheben. 3.</w:t>
      </w:r>
    </w:p>
    <w:p>
      <w:r>
        <w:t>Zur Sache bleibt zu bemerken, dass die aufliegenden Akten ein e abschliessende Beurteilung des Anspruchs des Beschwerdeführers auf Hörgeräteversorgung nicht zulassen.</w:t>
      </w:r>
    </w:p>
    <w:p>
      <w:r>
        <w:rPr>
          <w:b/>
        </w:rPr>
        <w:t>E. 3</w:t>
      </w:r>
    </w:p>
    <w:p>
      <w:r>
        <w:t>. Auflage, Zürich/Basel/Genf 20 15 , N 56 zu Art. 49 ATSG, mit Hinweis auf BGE 124 V 180). Die Begründung muss so abgefasst sein, dass eine Anfechtung des Entscheids möglich ist ( Kieser , a.a.O., N 220 zu Art. 61 ATSG).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 che Verfahrensmängel in einem vom durch den Verwaltungsakt Betroffenen allfällig angehobenen Gerichts verfahren behoben würden. Von der Rückweisung der Sache zur Gewährung des rechtli chen Gehörs an die Verwaltung ist nach dem Grundsatz der Verfahrensökonomie dann abzusehen, wenn dieses Vorgehen zu einem formalistischen Leerlauf und damit zu unnöti gen Verzögerungen führen würde, die mit dem gleichlaufenden und der Anhö rung gleichgestellten Interesse der versicherten Person an einer möglichst beförderlichen Beurteilung ihres Anspruchs nicht zu vereinbaren sind (BGE 120 V 357 E. 2b, 116 V 182 E. 3c und d).</w:t>
      </w:r>
    </w:p>
    <w:p>
      <w:r>
        <w:rPr>
          <w:b/>
        </w:rPr>
        <w:t>E. 4</w:t>
      </w:r>
    </w:p>
    <w:p>
      <w:r>
        <w:t>Die Kommission für Audiologie und Expertenwesen der Schweizerischen Gesell schaft für Oto - Rhino -Laryngologie, Hals- und Gesichtschirurgie erstellte unter den Vorgaben und im Auftrag des Bundesamtes für Sozialversicherungen (BSV) Richtlinien für ORL-Expertenärzte zum Abklärungsauftrag zur Vergütung von Hörgeräten durch die Sozialversicherungen IV und AHV (nachfolgend: Richtli nien für ORL-Expertenärzte) , welche ab 1. Juli 2011 gültig erklärt wurden. Darin werden die Anforderungen an den Experten (Arzt/Ärztin) und die tech nische Ausrüstung umschrieben (Ziffer 2), die gesetzlichen Grundlagen und weitere Vo raussetzungen dargelegt (Ziffer 3) sowie Richtlinien für die Exper tent ätigkeit für Erwachsene (Ziffer 4) sowie Kinder und Jugendlichen (Ziffer 5) aufgestellt. Unter dem Titel Expertentätigkeit für Erwachsene, Erstexpertise, wird festgehalten, dass die IV einen Pauschalbetrag an die Hörgeräteversorgung entrichten kann, wenn der binaurale Gesamt-Hörverlust mindestens 20 % beträgt (Ziffer 4.1.1 ). Der Gesamt-Hörverlust berechnet sich aus dem Tonaudio gramm und dem Sprachaudiogramm. Im Tonaudiogramm wird der Hörverlust pro Ohr nach der CPT-AMA-Tabelle prozentual berechnet. Im Sprachaudio gramm in Ruhe wird der Sprachhörverlust pro Ohr nach Sozialindex (Deutsch) oder Fournier (Französisch) prozentual nach einer im Anhang aufgelisteten Tabelle berechnet. Für den Gesamt-Hörverlust werden die einzelnen Werte für jedes Ohr (rechts und links) addiert und d urch vier geteilt (Ziffer 4.1.2 ). Gemäss Ziffer 4.1.3 der Richtlinien für ORL-Expertenärzte wird von der Sozialversiche rung nur im IV-Alter oder IV-Besitzstand eine binaurale Erstversorgung gewährt, wenn mindestens zwei der folgenden audiologischen Bedingungen erfüllt sind: Der Unterschied des Hörverlustes nach CPT-AMA zwischen rechts und links beträgt weniger als 30 % . Der Unterschied des Diskriminationsverlusts im Sprachtest in Ruhe rechts und links beträgt weniger als 50 %. Der Unterschied der Sprachhörschwelle (50%ige Verständlichkeit für Zahlen, Zweisilber oder Einsilber) zwischen links und rechts beträgt weniger als 50 dB .</w:t>
      </w:r>
    </w:p>
    <w:p>
      <w:r>
        <w:t>Ferner st ehen die Richtlinie n vor, dass bei Nichterreichen des für eine IV-Vergü tung erforderlichen Hörverlustes (H V) von 20 % gemäss Ziffer 4.1.1 für Perso nen, welche auf ein Hörgerät angewiesen sind und einen Gesamthörverlust zwischen 1</w:t>
      </w:r>
    </w:p>
    <w:p>
      <w:r>
        <w:rPr>
          <w:b/>
        </w:rPr>
        <w:t>E. 4.1</w:t>
      </w:r>
    </w:p>
    <w:p>
      <w:r>
        <w:t>und Ziff. 3 ) . Unter Ziffer 5 der Expertise nannte Dr. Y.___</w:t>
      </w:r>
    </w:p>
    <w:p>
      <w:r>
        <w:t>aller dings einen Hochtonabfall als audiologisches Erschwernis für die Hörgerätean passung .</w:t>
      </w:r>
    </w:p>
    <w:p>
      <w:r>
        <w:t>Auf S. 1 des Berichts notierte die Sachbearbeiterin der</w:t>
      </w:r>
    </w:p>
    <w:p>
      <w:r>
        <w:t>Beschwerdegegnerin , dass der Hochtonabfall gemäss telefonischer Nachfrage bei der Arztpraxis nicht erfüllt sei .</w:t>
      </w:r>
    </w:p>
    <w:p>
      <w:r>
        <w:rPr>
          <w:b/>
        </w:rPr>
        <w:t>E. 4.6</w:t>
      </w:r>
    </w:p>
    <w:p>
      <w:r>
        <w:t>) von einer Neuversorgung gestützt auf einen nach dem 1. Juli 2011 eingereichten Antrag und damit vom Pauschalsystem auszugehen ist.</w:t>
      </w:r>
    </w:p>
    <w:p>
      <w:r>
        <w:rPr>
          <w:b/>
        </w:rPr>
        <w:t>E. 5</w:t>
      </w:r>
    </w:p>
    <w:p>
      <w:r>
        <w:t>Mit dem seit 1. Juli 2011 gültigen Pauschalsystem für die Abgabe von Hörgerä ten wurde das bis dahin gültige Tarif-System durch das in drei Kategorien ein geteilte Indikationsstufenmodell abgelöst. Die Bedingungen für den Erhalt einer Pauschale sind jedoch, dass ein HNO-Arzt eine Hörstörung über der Anspruchsschwelle der Versicherung feststellt und eine Versorgung mit Hör geräten empfiehlt, das Gerät von der METAS zugelassen ist, die Versorgung durch eine Fachperson erfolgt und die Rechnungskopien der IV-Stelle mit den nötigen Angaben zugestellt werden (vgl. Faktenblatt des BSV vom 25. Mai 2011). 4 .</w:t>
      </w:r>
    </w:p>
    <w:p>
      <w:r>
        <w:rPr>
          <w:b/>
        </w:rPr>
        <w:t>E. 6</w:t>
      </w:r>
    </w:p>
    <w:p>
      <w:r>
        <w:t>.</w:t>
      </w:r>
    </w:p>
    <w:p>
      <w:r>
        <w:t>Vorab ist festzuhalten, dass das erstmalige Gesuch um Hörgeräteversorgung vom</w:t>
      </w:r>
    </w:p>
    <w:p>
      <w:r>
        <w:t>13. Februar 2009 (Urk. 6/24 ) mit Mitteilung vom 29. Juni 2009 bewilligt wurde ( Urk. 6/32 ). Durch das mehr als sechs Jahre nach erstmaligem Erhalt eines Hör geräts einge reichte neue Gesuch des Beschwerdeführers vom 1. September 2015, womit er eine</w:t>
      </w:r>
    </w:p>
    <w:p>
      <w:r>
        <w:t>Neuversorgung und damit</w:t>
      </w:r>
    </w:p>
    <w:p>
      <w:r>
        <w:t>aufgrund einer Verschlechterung seiner Hörleistung als Ersatz der bisherigen Versorgung mit einem einzigen Hörgerät zwei neue Hörgeräte beanspruchte (Urk. 6/33-34), wurde ein neues Verfahren ausgelöst, womit vorliegend aufgrund der Übergangsbestimmungsregelung (vgl. vorstehend E.</w:t>
      </w:r>
    </w:p>
    <w:p>
      <w:r>
        <w:rPr>
          <w:b/>
        </w:rPr>
        <w:t>E. 7</w:t>
      </w:r>
    </w:p>
    <w:p>
      <w:r>
        <w:t>.2</w:t>
      </w:r>
    </w:p>
    <w:p>
      <w:r>
        <w:t>Bei einem Gesamt-Hörverlust von 17.5 % ist es für die Beurteilung des Anspruchs auf eine Hörgerätversorgung im Rahmen eines Spezialfalles relevant, ob der Beschwerdeführer einen Hochtonabfall ( bei binaurale r Versorgung) oder eine einseitige Schwerhörigkeit von mehr als 25 % ( bei monaurale r Versorgung) aufweist. Diese beiden Fragen wurden von Dr. Y.___ nicht (eindeutig) beant wortet.</w:t>
      </w:r>
    </w:p>
    <w:p>
      <w:r>
        <w:t>Die von der Beschwerdegegnerin bei einer Praxismitarbeiterin telefonisch einge holte Auskunft eines fehlenden Hochtonabfalles widerspricht der Angabe von Dr. Y.___ , wonach ein Hochtonabfall die Hörgerätean passung audiologisch erschwere (vgl. dazu ferner das dem Bericht vom 11. September 2015 beigelegte Audiogramm, Urk. 6/36/3).</w:t>
      </w:r>
    </w:p>
    <w:p>
      <w:r>
        <w:t>Eine formlos eingeholte und in einer Aktennotiz fest gehaltene mündliche beziehungsweise telefonische Auskunft stellt nur inso weit ein zulässiges und taugliches Beweismittel dar, als damit bloss Neben punkte, namentlich Indizien oder Hilfstatsachen, festgestellt werden. Sind aber wie vorliegend Auskünfte zu wesentlichen Punkten des rechtserheblichen Sachverhaltes einzuholen, kommt grundsätzlich nur die Form einer schriftlichen Anfrage und Auskunft in Betracht. Demzufolge hätte die Beschwerdegegnerin Dr. Y.___ um eine Ergänzung seiner Angaben ersuchen oder den medizini schen Sachverhalt auf anderer geeigneter Weise vervollständigen müssen.</w:t>
      </w:r>
    </w:p>
    <w:p>
      <w:r>
        <w:t>Bei dieser Aktenlage lässt sich über den Anspruch des Beschwerdeführers im Rahmen eines Spezialfalles</w:t>
      </w:r>
    </w:p>
    <w:p>
      <w:r>
        <w:t>auf Versorgung mit einem oder gar zwei Hörgerä ten nicht entscheiden, weshalb die angefochtene Verfügung vom 8. Dezember 2015 auch aus diesem Grund aufzuheben gewesen wäre .</w:t>
      </w:r>
    </w:p>
    <w:p>
      <w:r>
        <w:rPr>
          <w:b/>
        </w:rPr>
        <w:t>E. 7.3</w:t>
      </w:r>
    </w:p>
    <w:p>
      <w:r>
        <w:t>Nach dem Gesagten ist die Beschwerde in dem Sinne gutzuheissen, dass der angefochtene Entscheid aufgehoben und die Sache an die Beschwerdegegnerin zurückgewiesen wird, damit diese die medizinische Abklärungen ergänze und hernach mittels eines rechtsgenüglich begründeten Entscheids neu über den Leistungsanspruch verfüge.</w:t>
      </w:r>
    </w:p>
    <w:p>
      <w:r>
        <w:rPr>
          <w:b/>
        </w:rPr>
        <w:t>E. 8</w:t>
      </w:r>
    </w:p>
    <w:p>
      <w:r>
        <w:t>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