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IV.2015.01249 vom 30. November 2016</w:t>
      </w:r>
    </w:p>
    <w:p>
      <w:r>
        <w:t>ZH Sozialversicherungsgericht, 2016-11-30, DE</w:t>
      </w:r>
    </w:p>
    <w:p>
      <w:r>
        <w:rPr>
          <w:b/>
        </w:rPr>
        <w:t xml:space="preserve">Quelle: </w:t>
      </w:r>
      <w:r>
        <w:t>https://mcp.opencaselaw.ch/entscheid/zh_sozialversicherungsgericht_IV.2015.01249</w:t>
      </w:r>
    </w:p>
    <w:p>
      <w:r>
        <w:t>FR: ZH_SOZIALVERSICHERUNGSGERICHT IV.2015.01249 du 30 novembre 2016</w:t>
      </w:r>
    </w:p>
    <w:p>
      <w:r>
        <w:t>IT: ZH_SOZIALVERSICHERUNGSGERICHT IV.2015.01249 del 30 novembre 2016</w:t>
      </w:r>
    </w:p>
    <w:p>
      <w:pPr>
        <w:pStyle w:val="Heading2"/>
      </w:pPr>
      <w:r>
        <w:t>Erwägungen</w:t>
      </w:r>
    </w:p>
    <w:p>
      <w:r>
        <w:rPr>
          <w:b/>
        </w:rPr>
        <w:t>E. 1</w:t>
      </w:r>
    </w:p>
    <w:p>
      <w:r>
        <w:t>X.___ , geboren 1973, meldete sich am 2 6. November 2012 bei der Sozialversicherungsanstalt des Kantons Zürich, IV-Stelle, zum Leistungsbezug an ( Urk. 6/5). Die IV-Stelle tätigte erwerbliche u nd medizinische Abklärungen und auferlegte der Versicherten mit Schreiben vom 1 2. März 2014 eine Schadenminderungspflicht im Sinne einer Alkohol-Abstinenz für die Dauer von mindestens 6 Monaten ( Urk. 6/31). Im Rahmen des Vorbescheidverfahrens (Vor bescheid vom 6. November 2014, Urk. 6/42; Einwand vom 2. Dezember 2014, Urk. 6/43) tätigte die IV-Stelle erneut medizinische Abklärungen und auferlegte der Versicherten mit Schreiben vom 1 6. März 2015 erneut eine Schadenminde rungspflicht im Sinne einer sechsmonatigen Alkoholabstinenz ( Urk. 6/50). Mit Verfügung vom 1 0. November 2015 wies die IV-Stelle das Leistungsbegehren ab ( Urk. 2).</w:t>
      </w:r>
    </w:p>
    <w:p>
      <w:r>
        <w:rPr>
          <w:b/>
        </w:rPr>
        <w:t>E. 2</w:t>
      </w:r>
    </w:p>
    <w:p>
      <w:r>
        <w:t>Hiergegen erhob die Versicherte am 1. Dezember 2015 Beschwerde und bean tragte die Aufhebung der angefochtenen Verfügung und die Zusprache einer halben Invalidenrente ( Urk. 1). Mit Beschwerdeantwort vom 2 0. Januar 2016 schloss die Beschwerdegegnerin auf Abweisung der Beschwerde ( Urk.</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eine seelische Abwegigkeit mit Krankheitswert besteht, welche die versicherte Person auch bei Aufbietung allen guten Willens daran hindert, ein rentenausschliessendes Erwerbseinkommen zu erzielen (Art. 7 Abs. 2 Satz 2 ATSG; BGE 139 V 547 E. 5; 131 V 49 E. 1.2; 130 V 352 E. 2.2.1; vgl. Urteile des Bundesgerichtes 8C_614/2015 vom 15. Dezem - ber 2015 E. 5</w:t>
      </w:r>
    </w:p>
    <w:p>
      <w:r>
        <w:t>und 9C_125/2015 vom 18. November 2015 E.</w:t>
      </w:r>
    </w:p>
    <w:p>
      <w:r>
        <w:rPr>
          <w:b/>
        </w:rPr>
        <w:t>E. 2.3</w:t>
      </w:r>
    </w:p>
    <w:p>
      <w:r>
        <w:t>erläuterte Rechtslage für sich allein keine invalidenrechtliche Relevanz zu begründen. Dass dieser zu einer Gesundheitsschädigung mit Krankheitswert geführt oder aus einer solchen entstanden wäre, ist nicht ersichtlich. Selbst wenn eine gewisse Wechselwirkung zw ischen dem Alkoholabusus und dem psychischen Leiden zu bejahen sein dürfte, ist mit der vorliegenden psychi atrischen Diag nose nach dem unter E. 4.1 Gesagten die notwendige Schwere einer allenfalls die Alkoholerkrankung (mit-)verursachenden psychischen Krankheit nicht erreicht . Die Persönlichkeitsstörung kann auch nicht als durch die Alkoholer krankung (mit-)verursachte Gesundheitsstörungen mi t Krankheitswert qualifi ziert werden, da sie bereits Jahre vor Beginn des Alkoholmissbrauchs bestand. 4.3</w:t>
      </w:r>
    </w:p>
    <w:p>
      <w:r>
        <w:t>Dass eine anhaltende somatisch begründete Arbeitsunfähigkeit vorliegt , geht nicht aus den im Recht liegenden Akten hervor und wird von der Beschwerde führerin</w:t>
      </w:r>
    </w:p>
    <w:p>
      <w:r>
        <w:t>auch nicht geltend gemacht (vgl. Urk. 6/39/6 f.; Urk. 6/47/2 ff.; Urk. 6/54). 4.4</w:t>
      </w:r>
    </w:p>
    <w:p>
      <w:r>
        <w:t>Zusammenfassend liegt keine Invalidität im Sinne von Art. 8 Abs. 1 ATSG (vgl. E. 2 .1) vor, womit mangels invalidenversicherungsrechtlicher Relevanz des Gesundheitsschadens eine Invalidenrente wie auch andere Leistungen der Inva lidenversicherung ausser Frage stehen. Demnach hat die Beschwerdegegnerin zu Recht einen Anspruch der Beschwerdeführerin auf Leistungen der Invalidenver sicherung, namentlich auf eine Invalidenrente, verneint, womit sich weitere Abklärungen erübrigen und die Beschwerde abzuweisen ist.</w:t>
      </w:r>
    </w:p>
    <w:p>
      <w:r>
        <w:t>5.</w:t>
      </w:r>
    </w:p>
    <w:p>
      <w:r>
        <w:t>Gestützt auf Art. 69 Abs. 1 bis IVG ist das Besc 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 Fr. 500.-- festzusetzen und der unterliegenden Beschwerdeführer in aufzuerlegen. Das Gericht erkennt: 1.</w:t>
      </w:r>
    </w:p>
    <w:p>
      <w:r>
        <w:t>Die Beschwerde wird abgewiesen. 2.</w:t>
      </w:r>
    </w:p>
    <w:p>
      <w:r>
        <w:t>Die Gerichtskosten von Fr. 500 .-- werden der Beschwerdeführerin auferlegt. 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VorsitzendeDie Gerichtsschreiberin HurstSchwegler</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5.4</w:t>
      </w:r>
    </w:p>
    <w:p>
      <w:r>
        <w:t>).</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6</w:t>
      </w:r>
    </w:p>
    <w:p>
      <w:r>
        <w:t>) . Entspre chend hielten Dr. Y.___ und Dr. B.___</w:t>
      </w:r>
    </w:p>
    <w:p>
      <w:r>
        <w:t>fest, dass die Persönlichkeitsstörung vom Borderline -Typ bereits seit ca. 1992, bzw. seit der Kindheit und Jugend bestehe (E. 3.2 und E. 3.3.1) .</w:t>
      </w:r>
    </w:p>
    <w:p>
      <w:r>
        <w:t>Der Beschwerdeführerin war es allerdings trotz dieser seit ca. 1992 bestehenden psychischen Störung möglich, diverse Ausbildungen zu absolvieren: So schloss sie im Jahr 1993 die internationale Schule für H.___ mit Diplomabschluss HF, im Jahr 2004 das I.___ und im Jahr 2011 den SRK Kurs zur Pflegehelferin erfolgreich ab ( Urk. 6/3/1 f.) . Des Weiteren war sie</w:t>
      </w:r>
    </w:p>
    <w:p>
      <w:r>
        <w:t>während vielen Jahren an verschiedenen Stellen erwerbstätig (vgl. IK-Auszug vom 1 9. Dezember 2012, Urk. 6/12).</w:t>
      </w:r>
    </w:p>
    <w:p>
      <w:r>
        <w:t>So nahm die Beschwerdeführerin ab April 2013 auch wieder eine Erwerbstätig keit als Pflegehelferin in einem Pensum von 50 % auf, welche sie auf 80 %</w:t>
      </w:r>
    </w:p>
    <w:p>
      <w:r>
        <w:t>auf zustocken plante (vgl. Urk. 6/24/3; E. 3.3.2) . Leider wurde ihr diese Stelle</w:t>
      </w:r>
    </w:p>
    <w:p>
      <w:r>
        <w:t>infolge betrieblic her Gründe wieder gekündigt ( Urk. 6/25/2). Gemäss ihren Ausführungen gegenüber Dr. Y.___ bestand sie auch die Aufnahmeprüfung für eine Ausbildung am C.___ im Februar 2013 (E. 3.3.2; Urk. 6/ 24/1), we lche sie ab Herbst 2014 hätte beginnen wollen ( Urk. 6/26).</w:t>
      </w:r>
    </w:p>
    <w:p>
      <w:r>
        <w:t>Daraus wird ersichtlich, dass die Beschwerdeführerin - trotz der Persönlichkeits störung - nicht nur erfolgreich mehrere berufliche Ausbildung en absolvierte, sondern auch über Jahre hinweg im Erwerbsleben stand, womit es nicht zu überzeugen vermag, dass diese psychische Störung zu einer andauernden Arbeitsunfähigkeit führen soll.</w:t>
      </w:r>
    </w:p>
    <w:p>
      <w:r>
        <w:t>Darüber hinaus befindet sich die Beschwerdeführerin nur in ambulanter fachärztlicher psychiatrischer Therapie, welche sich in supportiven Gesprächen in ca. 4-wöchigem Abstand erschöpft. Eine medikamentöse Ther apie findet nicht statt , was zeigt, dass der subjektive Leidensdruck nicht schwer ins Gewicht fällt. Ausserdem hielt Dr. Y.___ fest, dass die Arbeitsfähigkeit durch eine intensive Psychotherapie mit Fokusbehandlung der Persönlichkeitsstörung ver bessert werden könnte ( Urk. 6/44) .</w:t>
      </w:r>
    </w:p>
    <w:p>
      <w:r>
        <w:t>D ie in letzter Zeit einzige dokumentierte län gerdauernde zumindest teil stationäre psychiatrische Therapie war jedoch nicht der Behandlung der Persönlichkeitsstörung, sondern der Behandlung der Alko holsucht gewidmet ( vgl. Urk. 6/21/5; vgl. Urk. 6/15). Allerdings brach die Beschwerdeführerin diese Therapie vorzeitig ab ( Urk. 6/21/7).</w:t>
      </w:r>
    </w:p>
    <w:p>
      <w:r>
        <w:t>Entsprechend ist nicht von einem invalidisierenden Gesundheitsschaden auszuge hen . 4.2</w:t>
      </w:r>
    </w:p>
    <w:p>
      <w:r>
        <w:t>Der Alkoholmissbrauch vermag unter Hinweis auf die in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