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IV.2015.00965 vom 30. September 2016</w:t>
      </w:r>
    </w:p>
    <w:p>
      <w:r>
        <w:t>ZH Sozialversicherungsgericht, 2016-09-30, DE</w:t>
      </w:r>
    </w:p>
    <w:p>
      <w:r>
        <w:rPr>
          <w:b/>
        </w:rPr>
        <w:t xml:space="preserve">Quelle: </w:t>
      </w:r>
      <w:r>
        <w:t>https://mcp.opencaselaw.ch/entscheid/zh_sozialversicherungsgericht_IV.2015.00965</w:t>
      </w:r>
    </w:p>
    <w:p>
      <w:r>
        <w:t>FR: ZH_SOZIALVERSICHERUNGSGERICHT IV.2015.00965 du 30 septembre 2016</w:t>
      </w:r>
    </w:p>
    <w:p>
      <w:r>
        <w:t>IT: ZH_SOZIALVERSICHERUNGSGERICHT IV.2015.00965 del 30 settembre 2016</w:t>
      </w:r>
    </w:p>
    <w:p>
      <w:pPr>
        <w:pStyle w:val="Heading2"/>
      </w:pPr>
      <w:r>
        <w:t>Erwägungen</w:t>
      </w:r>
    </w:p>
    <w:p>
      <w:r>
        <w:rPr>
          <w:b/>
        </w:rPr>
        <w:t>E. 1</w:t>
      </w:r>
    </w:p>
    <w:p>
      <w:r>
        <w:t>Die 1977 in Y.___</w:t>
      </w:r>
    </w:p>
    <w:p>
      <w:r>
        <w:t>geborene X.___</w:t>
      </w:r>
    </w:p>
    <w:p>
      <w:r>
        <w:t>lebt seit 2007 in der Schweiz und arbeitete seit Juni 2008 bei der Z.___ AG als kaufmännische An gestellte bei einem 100%-Pensum (Urk. 8/4). Vom 4. Juli bis 3. August 2012 war sie erstmals in der Privatklinik A.___ stationär hos pitalisiert. Am 12. September</w:t>
      </w:r>
    </w:p>
    <w:p>
      <w:r>
        <w:t>2012 trat sie dort freiwillig und geplant zur zweiten stationären Hospitalisation ein, um an einem 12-wöchigen DBT (Dialektisch- behaviorale s Therapie)-Programm teilzunehmen. Nach einem Arbeitsversuch befand sich die Versicherte vom 28. bis 30. Dezember 2012 zwecks kurzer stationärer Krisenintervention erneut in der Privatklinik A.___ (Urk. 8/16/14-16 ). Am 18. März</w:t>
      </w:r>
    </w:p>
    <w:p>
      <w:r>
        <w:t>2013 (Eingangsdatum) meldete sich X.___ bei der Sozial versicherungsanstalt des Kantons Zürich, IV-Stelle, zum Leistungsbezug an (Urk. 8/4). D ie IV-Stelle tätigte erwerblic he und medizinische Abklärungen und</w:t>
      </w:r>
    </w:p>
    <w:p>
      <w:r>
        <w:t>gewährte mit</w:t>
      </w:r>
    </w:p>
    <w:p>
      <w:r>
        <w:t>Mitteilung vom 27. Mai</w:t>
      </w:r>
    </w:p>
    <w:p>
      <w:r>
        <w:t>2013 ” Frühinterventionsmassnahmen in Form von Arbeitsplatzerhalt ” ( Urk. 8/22).</w:t>
      </w:r>
    </w:p>
    <w:p>
      <w:r>
        <w:t>Nachdem eine schrittweise Rückkehr an den bisherigen Arbeitsplatz im Juni 2013 scheiterte, wurde der Versicherten per Ende November 2013 gekündigt (Urk. 8/39). Am 23. Dezember 2013 (Urk. 8/52) gewährte die IV-Stelle der Versi cherten Beratung und Unterstützung bei der Stellensuche ( Frühinterventions massnahme , Urk. 8/52). Am 10. November 2014 teilte ihr die IV-Stelle mit, dass keine beruflichen Eingliederungsmass nahmen möglich seien (Urk. 8/69). In der Folge liess die IV-S telle X.___ durch Dr. med. B.___ , Facharzt für Psychiatrie und Psychothe rapie FMH, psychiatrisch begutachten (Gutachten vom 12. März</w:t>
      </w:r>
    </w:p>
    <w:p>
      <w:r>
        <w:t>2015, Urk. 8/81).</w:t>
      </w:r>
    </w:p>
    <w:p>
      <w:r>
        <w:t>Nach durchgeführtem Vorbescheidverfahren (Urk. 8/82 und Urk. 8/90) verneinte die IV-Stelle mit Verfügung vom 29. Juli 2015 einen Rentenanspruch von X.___ (Urk. 2).</w:t>
      </w:r>
    </w:p>
    <w:p>
      <w:r>
        <w:rPr>
          <w:b/>
        </w:rPr>
        <w:t>E. 1.1.1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Arbeitsmarkt mit der psychi schen Beein 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w:t>
      </w:r>
    </w:p>
    <w:p>
      <w:r>
        <w:t>2). Dabei ist das ganze für die Alko holsucht massgebende Ursachen- und Folgespektrum in eine Gesamtwürdigung einzubeziehen, was impliziert, dass einer allfälligen Wechselwirkung zwischen Suchtmittelabhängigkeit und psychischer Begleiterkrankung Rechnung zu tragen ist (Urteile des Bundesgerichts I 758/01 vom 5. November 2002 E.</w:t>
      </w:r>
    </w:p>
    <w:p>
      <w:r>
        <w:t>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 sundheitsstörung zugrunde liegt, welche zumindest eine erhebliche Teilursache der Alkoholsucht darstellt (Urteil des Bundesgerichts I 192/02 vom 23. Oktober 2002 E.</w:t>
      </w:r>
    </w:p>
    <w:p>
      <w:r>
        <w:rPr>
          <w:b/>
        </w:rPr>
        <w:t>E. 1.2.2</w:t>
      </w:r>
    </w:p>
    <w:p>
      <w:r>
        <w:t>mit Hinweis); es genügt nicht, wenn es sich nur um eine ganz untergeordnete Teilursache handelt (nicht veröffentlichtes Urteil des Bundesge richts I 130/93 vom 29. August 1994). Mit dem Erfordernis des Krankheitswerts einer allfälligen verursachenden psychischen Krankheit wird verlangt, dass diese die Arbeits- und Erwerbsfähigkeit einschränkt (BGE 99 V 28 E. 2; Urteil des Bundesgerichts I 940/05 vom 10. März</w:t>
      </w:r>
    </w:p>
    <w:p>
      <w:r>
        <w:t>2006 E.</w:t>
      </w:r>
    </w:p>
    <w:p>
      <w:r>
        <w:t>2.2; erwähntes Urteil I 758/01 E.</w:t>
      </w:r>
    </w:p>
    <w:p>
      <w:r>
        <w:t>3.1). Wenn der erforderliche Kausalzusammenhang zwischen Alkoholsucht und krankheitswertigem psychischem Gesundheitsschaden besteht, sind für die Frage der noch zumutbaren Erwerbstätigkeit die psychischen und die suchtbe dingten Beeinträchtigungen gesamthaft zu berücksichtigen. Um diese Frage beantworten zu können, sind Verwaltung und Gericht auf möglichst detaillierte medizinische Auskünfte über die Verhältnisse zur Zeit der Entstehung der Alko 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w:t>
      </w:r>
    </w:p>
    <w:p>
      <w:r>
        <w:t>3c mit Hinweis, 99 V 28 E.</w:t>
      </w:r>
    </w:p>
    <w:p>
      <w:r>
        <w:t>2; SVR 2001 IV Nr. 3 S.</w:t>
      </w:r>
    </w:p>
    <w:p>
      <w:r>
        <w:rPr>
          <w:b/>
        </w:rPr>
        <w:t>E. 1.3</w:t>
      </w:r>
    </w:p>
    <w:p>
      <w:r>
        <w:t>Im Gebiet der Invalidenversicherung gilt ganz allgemein der Grundsatz, dass die invalide Person, bevor sie Leistungen verlangt, alles ihr Zumutbare selber vor zukehren hat, um die Folgen ihrer Invalidität bestmöglich zu mildern (BGE 113 V 22 E.</w:t>
      </w:r>
    </w:p>
    <w:p>
      <w:r>
        <w:t>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 Als Ausdruck der allgemeinen Scha denminderungspflicht geht die Pflicht, die notwendigen Schritte zur Selbstein gliederung zu unternehmen, nicht nur dem Renten-, sondern auch dem gesetzli chen Eingliederungsanspruch vor (Urteil des Bundesgerichts 9C_356/2014 vom 14. November</w:t>
      </w:r>
    </w:p>
    <w:p>
      <w:r>
        <w:t>2014 E. 3.1 mit Hinweisen auf Urteile I 116/03 vom 10. Novem ber 2003 E. 3.1 und I 145/01 vom 12. September 2001 E. 2b).</w:t>
      </w:r>
    </w:p>
    <w:p>
      <w:r>
        <w:t>Für die Beantwortung der Frage nach der Zumutbarkeit der Behandlung oder Eingliederungsmassnahme im Sinne von Art. 21 Abs. 4 ATSG kann auf die zu Art. 31 Abs. 1 IVG in der bis 3</w:t>
      </w:r>
    </w:p>
    <w:p>
      <w:r>
        <w:rPr>
          <w:b/>
        </w:rPr>
        <w:t>E. 2</w:t>
      </w:r>
    </w:p>
    <w:p>
      <w:r>
        <w:t>Hiergegen erhob X.___ am 14. September 2015 Beschwerde und beantragte, es sei ihr unter Aufhebung der Verfügung vom 2 9. Juli 2015 ab dem frühest möglichen Zeitpunkt eine Invalidenrente zuzusprechen, eventuell sei die Sache zur Neubeurteilung an die Verwaltung zurückzuweisen; unter Kosten- und Entschädigungsfolgen zu Lasten der Beschwerdegegnerin. Zudem ersuchte sie um Gewährung der unentgeltliche n Prozessführung und um Ernennung von Advokatin lic . iur . Ka rin Wüthrich als unentgeltliche</w:t>
      </w:r>
    </w:p>
    <w:p>
      <w:r>
        <w:t>Rechtsbeiständin (Urk. 1). Die Beschwerdegegnerin schloss mit Beschwerdeantwort vom 13. Oktober 2015 auf Abweisung der Beschwerde (Urk. 7, unter Beilage ihrer Akten, Urk. 8/1- 103) , was der Beschwerdeführerin am 21. Oktober 2015 mitgeteilt wurde (Urk. 9).</w:t>
      </w:r>
    </w:p>
    <w:p>
      <w:r>
        <w:rPr>
          <w:b/>
        </w:rPr>
        <w:t>E. 2.2</w:t>
      </w:r>
    </w:p>
    <w:p>
      <w:r>
        <w:t>und 4.2 mit Hinweisen und 8C_672/2010 vom 27. Septem b er 2010 E. 2).</w:t>
      </w:r>
    </w:p>
    <w:p>
      <w:r>
        <w:rPr>
          <w:b/>
        </w:rPr>
        <w:t>E. 3</w:t>
      </w:r>
    </w:p>
    <w:p>
      <w:r>
        <w:t>Auf die Vorbringen der Parteien und die eingereichten Unterlagen wird - soweit erforderlich - im Rahmen der nachfolgenden Erwägungen eingegangen. Das Gericht zieht in Erwägung: 1.</w:t>
      </w:r>
    </w:p>
    <w:p>
      <w:r>
        <w:rPr>
          <w:b/>
        </w:rPr>
        <w:t>E. 7</w:t>
      </w:r>
    </w:p>
    <w:p>
      <w:r>
        <w:t>E.</w:t>
      </w:r>
    </w:p>
    <w:p>
      <w:r>
        <w:t>2b; AHI 2002 S.</w:t>
      </w:r>
    </w:p>
    <w:p>
      <w:r>
        <w:t>30 E.</w:t>
      </w:r>
    </w:p>
    <w:p>
      <w:r>
        <w:t>2a, 2001 S. 228 f. E.</w:t>
      </w:r>
    </w:p>
    <w:p>
      <w:r>
        <w:t>2b mit Hinweisen; Urteile des Bundesgerichts I 169/06 vom 8. August</w:t>
      </w:r>
    </w:p>
    <w:p>
      <w:r>
        <w:t>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