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IV.2015.00681 vom 20. Januar 2017</w:t>
      </w:r>
    </w:p>
    <w:p>
      <w:r>
        <w:t>ZH Sozialversicherungsgericht, 2017-01-20, DE</w:t>
      </w:r>
    </w:p>
    <w:p>
      <w:r>
        <w:rPr>
          <w:b/>
        </w:rPr>
        <w:t xml:space="preserve">Quelle: </w:t>
      </w:r>
      <w:r>
        <w:t>https://mcp.opencaselaw.ch/entscheid/zh_sozialversicherungsgericht_IV.2015.00681</w:t>
      </w:r>
    </w:p>
    <w:p>
      <w:r>
        <w:t>FR: ZH_SOZIALVERSICHERUNGSGERICHT IV.2015.00681 du 20 janvier 2017</w:t>
      </w:r>
    </w:p>
    <w:p>
      <w:r>
        <w:t>IT: ZH_SOZIALVERSICHERUNGSGERICHT IV.2015.00681 del 20 gennaio 2017</w:t>
      </w:r>
    </w:p>
    <w:p>
      <w:pPr>
        <w:pStyle w:val="Heading2"/>
      </w:pPr>
      <w:r>
        <w:t>Erwägungen</w:t>
      </w:r>
    </w:p>
    <w:p>
      <w:r>
        <w:rPr>
          <w:b/>
        </w:rPr>
        <w:t>E. 1</w:t>
      </w:r>
    </w:p>
    <w:p>
      <w:r>
        <w:t>Herr X.___ wird verpflichtet, die ihm vom 1. Juni 2001 bis 30. November 2009 zu viel ausbezahlten Renten von CHF 524‘713.00 innert 30 Tagen zurückzuerstatten. Der entsprechende Einzahlungsschein wir Ihnen mit sepa rater Post zugestellt. …“</w:t>
      </w:r>
    </w:p>
    <w:p>
      <w:r>
        <w:rPr>
          <w:b/>
        </w:rPr>
        <w:t>E. 1.1</w:t>
      </w:r>
    </w:p>
    <w:p>
      <w:r>
        <w:t>Mit der ursprünglich angefochtenen Verfügung vom 16. November 2011 ( Urk. 7/292) entschied die Beschwerdegegnerin über den Umfang der Rück forderung, deren Höhe sie mit Fr. 596‘283.-- bezifferte. Das hiesige Gericht reduzierte die Höhe der Rückforderung mit Entscheid vom 30. Mai 2014 ( Urk. 7/312) auf Fr. 524‘713.--, was das Bundesgericht mit Urteil vom 6. Ja nuar 2015 ( Urk. 7/332) bestätigte. Das höchste Gericht führte hierzu aus: „Nachdem die Höhe und die Modalitäten der Rückforderung nicht angefochten sind, ist darauf nicht weiter einzugehen, womit es bei der vorinstanzlich (auf den Zeitpunkt der Mel depflichtverletzung ) festgesetzten Rentenaufhebung per 1. Juni 2001 und der damit verbundenen Rückforderung in der Höhe von Fr. 524'713.-- bleibt“ (E. 5).“.</w:t>
      </w:r>
    </w:p>
    <w:p>
      <w:r>
        <w:rPr>
          <w:b/>
        </w:rPr>
        <w:t>E. 1.2</w:t>
      </w:r>
    </w:p>
    <w:p>
      <w:r>
        <w:t>Über das den Streitgegenstand bildende materielle Rechtsverhältnis (vgl. dazu BGE 125 V 414 E. 2a) zwischen den Parteien haben nach dem Gesagten sowohl das hiesige Gericht wie auch das Bundesgericht rechtskräftig befun den. Die Dispositive der Urteile des hiesigen Gerichts sowie des Bundesge richts regeln den Rückforderungsanspruch definitiv, indem dieser mit Fr. 524‘713.-- beziffert wurde.</w:t>
      </w:r>
    </w:p>
    <w:p>
      <w:r>
        <w:rPr>
          <w:b/>
        </w:rPr>
        <w:t>E. 2</w:t>
      </w:r>
    </w:p>
    <w:p>
      <w:r>
        <w:t>Hiergegen erhob der Versicherte am 2 2. Juni 2015 ( Urk. 1) Beschwerde mit dem Rechtsbegehren, die Verfügung vom 21. Mai 2015 sei aufzuheben und (es sei) festzustellen, dass die Forderung auf Rückerstattung getilgt ist (S. 2). Die IV-Stelle beantragte am 31. August 2015 ( Urk. 6) Abweisung der Be schwerde, was dem Versicherten am 31. August 2015 ( Urk. 8) zur Kenntnis gebracht wurde. Das Gericht zieht in Erwägung: 1.</w:t>
      </w:r>
    </w:p>
    <w:p>
      <w:r>
        <w:rPr>
          <w:b/>
        </w:rPr>
        <w:t>E. 2.1</w:t>
      </w:r>
    </w:p>
    <w:p>
      <w:r>
        <w:t>Der rechtskräftige Entscheid des Bundesgerichts über die Höhe der der Be schwerdegegnerin zu Lasten des Beschwerdeführer s zustehenden Rückforde rung führt dazu, dass es sich bei der Frage betreffend Zulässigkeit und Höhe der Rückforderung um eine abgeurteilte Sache handelt, welche einer Neube urteilung entgegen steht.</w:t>
      </w:r>
    </w:p>
    <w:p>
      <w:r>
        <w:rPr>
          <w:b/>
        </w:rPr>
        <w:t>E. 2.2</w:t>
      </w:r>
    </w:p>
    <w:p>
      <w:r>
        <w:t>Bei der Verfügung der Beschwerdegegnerin vom 21. Mai 2015 ( Urk. 2) han delt es sich denn auch gar nicht um eine Verfügung im Rechtssinne, das heisst um eine behördliche Anordnung, die Rechte und Pflichten festlegt (zur genauen Begriffsumschreibung vgl. Art. 5 Abs. 1 des Bundesgesetzes über das Verwaltungsverfahren, VwVG ) . Denn die Pflichten des Beschwerdefüh rer s waren durch den Entscheid des Bundesgerichts vom 6. Januar 2015 längst festgelegt worden in dem Sinn, dass die Beschwerdegegnerin zu sei nen Lasten eine Rückforderung von Fr. 524‘713.-- hat.</w:t>
      </w:r>
    </w:p>
    <w:p>
      <w:r>
        <w:t>Dem mit „Verfügung“ betitelten Schreiben der Beschwerdegegnerin vom 2 1. Mai 2015 kommt damit lediglich die Qualität einer Aufforderung gleich, die Rückforderung zu begleichen. Der Beschwerdegegnerin war es verwehrt, die Thematik der Rückforderung neu aufzugreifen, darüber einen (allenfalls auch abweichenden) Entscheid zu fällen und dem Beschwerdeführer den Rechtsmittelweg neu zu öffnen. Soweit das Schreiben als Verfügung gefasst werden will, ist es nichtig.</w:t>
      </w:r>
    </w:p>
    <w:p>
      <w:r>
        <w:rPr>
          <w:b/>
        </w:rPr>
        <w:t>E. 2.3</w:t>
      </w:r>
    </w:p>
    <w:p>
      <w:r>
        <w:t>Liegt keine anfechtbare Verfügung vor, konnte der Beschwerdeführer auch keine Beschwerde dagegen erheben. Mangels Vorliegens eines (dem Rechts weg zugängliches) Anfechtungsobjekts ist damit auf die Beschwerde nicht einzutreten.</w:t>
      </w:r>
    </w:p>
    <w:p>
      <w:r>
        <w:rPr>
          <w:b/>
        </w:rPr>
        <w:t>E. 3.1</w:t>
      </w:r>
    </w:p>
    <w:p>
      <w:r>
        <w:t>In Bezug auf die materiellen Vorbringen des Beschwerdeführer s ist festzuhal ten, dass diese den Vollzug der Rückforderung betreffen und nicht den An spruch der Beschwerdegegnerin an sich. Die Durchsetzung der Rückforderung richtet sich nach dem Bundesgesetz über die Schulbetreibung und den Kon kurs (SchKG), für deren Beurteilung das angerufen Gericht nicht zuständig ist.</w:t>
      </w:r>
    </w:p>
    <w:p>
      <w:r>
        <w:rPr>
          <w:b/>
        </w:rPr>
        <w:t>E. 3.2</w:t>
      </w:r>
    </w:p>
    <w:p>
      <w:r>
        <w:t>Anzufügen bleibt indes, dass das Vorbringen, die Rückforderung sei bereits getilgt, im Rechtsmittelverfahren vor Bundesgericht geltend zu machen ge wesen wäre. Der Beschwerdeführer verwies auf die Schadensregulierung mit dem Haftpflichtversicherer vom April 2008, in dessen Zuge der Beschwerde gegnerin</w:t>
      </w:r>
    </w:p>
    <w:p>
      <w:r>
        <w:t>Fr. 924‘919.70 ausgerichtet worden sei, und brachte vor, er habe sich die gesamten IV-Leistungen bis zu seiner Pensionierung von seiner For derung gegenüber der Haftpflichtversicherung in Abzug bringen lassen müssen, weil die Beschwerdegegnerin in diesem Umfang in die Forderung eingetreten sei. Mit der Aufhebung der IV-Rente per 1. Juni 2001 sei der Subrogationsanspruch dahingefallen. Da durch die Verrechnungserklärung die Forderung auf Rückzahlung der zu Unrecht bezogenen Rentenleistungen in der Höhe von Fr. 524‘713.-- somit getilgt sei, bestehe keine weitergehende Zahlungspflicht ( Urk. 1 S. 4 f.).</w:t>
      </w:r>
    </w:p>
    <w:p>
      <w:r>
        <w:t>Die Schadensregulierung datiert vom April 2008, die Verfügung betreffend Rückforderung datiert vom 1 6. November 2011, zu welchem Zeitpunkt die Beschwerdegegnerin den Schadensbetrag für die Invalidenrente längst er halten hatte. Bestand aber nach Ansicht des Beschwerdeführer s gar kein Anspruch der Beschwerdegegnerin , weil dieser bereits gedeckt war, hätte dies zwingend im Dispositiv der Urteile des hiesigen Gerichts sowie des Bundes gerichts zum Ausdruck kommen müssen. Dies ist nicht der Fall, weshalb auch unter diesem Titel kein anderes Ergebnis als Nichteintreten auf die Be schwerde resultieren kann.</w:t>
      </w:r>
    </w:p>
    <w:p>
      <w:r>
        <w:rPr>
          <w:b/>
        </w:rPr>
        <w:t>E.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