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IV.2015.00670 vom 3. August 2016</w:t>
      </w:r>
    </w:p>
    <w:p>
      <w:r>
        <w:t>ZH Sozialversicherungsgericht, 2016-08-03, DE</w:t>
      </w:r>
    </w:p>
    <w:p>
      <w:r>
        <w:rPr>
          <w:b/>
        </w:rPr>
        <w:t xml:space="preserve">Quelle: </w:t>
      </w:r>
      <w:r>
        <w:t>https://mcp.opencaselaw.ch/entscheid/zh_sozialversicherungsgericht_IV.2015.00670</w:t>
      </w:r>
    </w:p>
    <w:p>
      <w:r>
        <w:t>FR: ZH_SOZIALVERSICHERUNGSGERICHT IV.2015.00670 du 3 août 2016</w:t>
      </w:r>
    </w:p>
    <w:p>
      <w:r>
        <w:t>IT: ZH_SOZIALVERSICHERUNGSGERICHT IV.2015.00670 del 3 agosto 2016</w:t>
      </w:r>
    </w:p>
    <w:p>
      <w:pPr>
        <w:pStyle w:val="Heading2"/>
      </w:pPr>
      <w:r>
        <w:t>Erwägungen</w:t>
      </w:r>
    </w:p>
    <w:p>
      <w:r>
        <w:rPr>
          <w:b/>
        </w:rPr>
        <w:t>E. 6</w:t>
      </w:r>
    </w:p>
    <w:p>
      <w:r>
        <w:t>Schliesslich bleibt zu prüfen, ob die zwischenzeitliche Entstehung eines Renten anspruchs bis zur angefochtenen Verfügung vom 26. Mai 2015 zu verneinen ist (vgl. Urteil des Bundesgerichts 9C_337/2015 vom 7. April 2016, E. 5) mithin, ob die Aufhebung der bisherigen Rente auch aus diesem Grund rechtens war.</w:t>
      </w:r>
    </w:p>
    <w:p>
      <w:r>
        <w:t>Im Rahmen des Rentenrevisionsverfahrens wurde die Beschwerdeführerin erneut polydisziplinär begutachtet. Das Medas -Gutachten vom 22. Januar 2015 (E. 3.3) erfüllt die praxisgemässen Kriterien vollumfänglich und legt den medizinischen Sach verhalt in schlüssige r und nachvollziehbarer Weise dar, so dass grund sätz lich darauf abgestellt we rden kann. Als einzige Diagnose mit Auswirkung auf die Arbeitsfähigkeit nannten die Ärzte e ine</w:t>
      </w:r>
    </w:p>
    <w:p>
      <w:r>
        <w:t>Dysthymie bei chronischer Schmerz störung mit somatischen und psychischen Faktoren . Nachdem die Gut achter so wohl in der bisherigen als auch in jeder anderen Verweistätigkeit eine Arbeits unfähigkeit von 20- 30 % attestierten, vermag dies keinen Ren tenanspruch zu begründe n und kann offenbleiben, ob d e r diagnostizierte n</w:t>
      </w:r>
    </w:p>
    <w:p>
      <w:r>
        <w:t>Dysthymie bei chro nischer Schmerzstörung (E. 3.3) nach neuer Ge r ichtspraxis eine Einsch ränk ung der Leistungsfähigkeit beizumessen wäre .</w:t>
      </w:r>
    </w:p>
    <w:p>
      <w:r>
        <w:t>Da die bisherige Tätigkeit weiterhin zumutbar ist, genügt zur Bemessung des Invaliditätsgrades ein Prozentvergleich. Anhaltspunkte für einen Abzug vom Invalideneinkommen lassen sich nicht ausmachen, zumal sich Teilzeitarbeit bei Frauen eher lohnerhöhend auswirkt (Urteil des Bundesgerichts 8C_379/2011 vom 26. August 2011 E. 4.2.2.2; vgl. auch LSE 2006 T*2). Damit ist höchstens von einem Invaliditätsgrad von 30 % ( Valideneinkommen : 100; Invalidenein kommen : mindestens 70) auszugehen, womit nach wie vor kein Rentenanspruch besteht.</w:t>
      </w:r>
    </w:p>
    <w:p>
      <w:r>
        <w:rPr>
          <w:b/>
        </w:rPr>
        <w:t>E. 7</w:t>
      </w:r>
    </w:p>
    <w:p>
      <w:r>
        <w:t>.</w:t>
      </w:r>
    </w:p>
    <w:p>
      <w:r>
        <w:t>Zusammenfassend erweist sich die ursprüngliche Leistungszusprache im Jahre 2010 als zweifellos unrichtig und die wiedererwägungsweise Aufhebung der bisherigen Rente als rechtens. Dies führt zur Abweisung der Beschwerde .</w:t>
      </w:r>
    </w:p>
    <w:p>
      <w:r>
        <w:rPr>
          <w:b/>
        </w:rPr>
        <w:t>E. 8</w:t>
      </w:r>
    </w:p>
    <w:p>
      <w:r>
        <w:t>.</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 gang des Verfahrens sind sie der Beschwerdeführerin aufzuerlegen. Das Gericht erkennt: 1.</w:t>
      </w:r>
    </w:p>
    <w:p>
      <w:r>
        <w:t>Die Beschwerde wird abgewiesen. 2.</w:t>
      </w:r>
    </w:p>
    <w:p>
      <w:r>
        <w:t>Die Gerichtskosten von Fr. 800 .-- werden der Beschwerdeführerin auferlegt. Rechnung und Einzahlungsschein werden der Kostenpflichtigen nach Eintritt der Rechtskraft zu gestellt. 3.</w:t>
      </w:r>
    </w:p>
    <w:p>
      <w:r>
        <w:t>Zustellung gegen Empfangsschein an: - CAP Rechtsschutz-Versicherungsgesellschaft 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MosimannKübler-Zillig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