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IV.2015.00584 vom 21. Juli 2016</w:t>
      </w:r>
    </w:p>
    <w:p>
      <w:r>
        <w:t>ZH Sozialversicherungsgericht, 2016-07-21, DE</w:t>
      </w:r>
    </w:p>
    <w:p>
      <w:r>
        <w:rPr>
          <w:b/>
        </w:rPr>
        <w:t xml:space="preserve">Quelle: </w:t>
      </w:r>
      <w:r>
        <w:t>https://mcp.opencaselaw.ch/entscheid/zh_sozialversicherungsgericht_IV.2015.00584</w:t>
      </w:r>
    </w:p>
    <w:p>
      <w:r>
        <w:t>FR: ZH_SOZIALVERSICHERUNGSGERICHT IV.2015.00584 du 21 juillet 2016</w:t>
      </w:r>
    </w:p>
    <w:p>
      <w:r>
        <w:t>IT: ZH_SOZIALVERSICHERUNGSGERICHT IV.2015.00584 del 21 luglio 2016</w:t>
      </w:r>
    </w:p>
    <w:p>
      <w:pPr>
        <w:pStyle w:val="Heading2"/>
      </w:pPr>
      <w:r>
        <w:t>Erwägungen</w:t>
      </w:r>
    </w:p>
    <w:p>
      <w:r>
        <w:rPr>
          <w:b/>
        </w:rPr>
        <w:t>E. 1</w:t>
      </w:r>
    </w:p>
    <w:p>
      <w:r>
        <w:t>X.___ , geboren am 17. Juli 2005, wurde von ihrem Vater unter Hinweis auf das Geburtsgebrechen Ziffer 195 des Anhanges zur Verordnung über Geburtsgebrechen ( GgV ; angeborene Patellaluxation , sofern Operation not wendig ist ) am 17. Februar 2015 bei der Invalidenversicherung zum Leis tungs bezug (medizinische Massnahmen) angemeldet (Urk. 7/1). Die Sozialversi che rungsanstalt des Kantons Zürich, IV-Stelle, holte den Bericht der behan delnden Ärzt in der Z.___ Klinik vom 10. März 2015 (Urk. 7/3 /2-5 ) sowie die Stellung nahme des Regionalen Ärztlichen Dienstes (RAD) vom 16 . März 20</w:t>
      </w:r>
    </w:p>
    <w:p>
      <w:r>
        <w:rPr>
          <w:b/>
        </w:rPr>
        <w:t>E. 1.1</w:t>
      </w:r>
    </w:p>
    <w:p>
      <w:r>
        <w:t>Versicherte haben bis zum vollendeten 20. Altersjahr Anspruch auf die zur Be hand lung von Geburtsgebrechen (Art. 3 Abs. 2 des Bundesgesetzes über den Allgemeinen Teil des Sozialversicherungsrechts, ATSG) notwendigen medizini schen Massnahmen (Art. 13 Abs. 1 des</w:t>
      </w:r>
    </w:p>
    <w:p>
      <w:r>
        <w:t>Bundesgesetzes über die Invalidenversi cherung, IVG ). Der Bundesrat bezeichnet die Gebrechen, für welche diese Mass nahmen gewährt werden. Er kann die Leistung ausschliessen, wenn das Gebre chen von geringfügiger Bedeutung ist ( Art. 13 Abs. 2 IVG).</w:t>
      </w:r>
    </w:p>
    <w:p>
      <w:r>
        <w:t>Als Geburtsgebrechen gelten diejenigen Krankheiten, die bei vo llendeter Geburt bestehen (Art. 3 Abs. 2 ATSG in Verbindung mit Art. 1 Abs. 1 Satz 1 GgV ). Die blosse Veranlagung zu einem Leiden gilt nicht als Geburtsgebrechen. Der Zeit punkt, in dem ein Geburtsgebrechen als solches erka nnt wird, ist unerheblich (Art. 1 Abs. 1 GgV ). Die Geburtsgebrechen sind in der Liste im Anhang aufge führt. Das Eidgenössische Departement des Innern kann die Liste jährlich an passen, sofern die Mehrausgaben einer solchen Anpassung für die Versicherung insgesamt drei Millionen Franken p ro Jahr nicht übersteigen (Art. 1 Abs. 2</w:t>
      </w:r>
    </w:p>
    <w:p>
      <w:r>
        <w:t>GgV ). Als medizinische Massnahmen, die für die Behandlung eines Ge burtsgebrechens notwendig sind, gelten sämtliche Vorkehren, die nach bewähr ter Erkenntnis der medizinischen Wissenschaft angezeigt sind und den thera peutischen Erfolg in einfacher und zwec kmässiger Weise anstreben (Art. 2 Abs. 3 GgV ).</w:t>
      </w:r>
    </w:p>
    <w:p>
      <w:r>
        <w:rPr>
          <w:b/>
        </w:rPr>
        <w:t>E. 1.2</w:t>
      </w:r>
    </w:p>
    <w:p>
      <w:r>
        <w:t>Für die Annahme einer Leistungspflicht der Invalidenve rsicherung aufgrund von Art. 13 IVG genügt nach konstanter Rechtsprechung des Bundesgerichts in be weisrechtlicher Hinsicht, dass es ein Facharzt oder eine Fachärztin zumindest für wahrscheinlich hält, es liege ein im Anhang der GgV enthaltenes Gebrechen vor (BGE 100 V 104 E. 2 in fine ).</w:t>
      </w:r>
    </w:p>
    <w:p>
      <w:r>
        <w:rPr>
          <w:b/>
        </w:rPr>
        <w:t>E. 1.3</w:t>
      </w:r>
    </w:p>
    <w:p>
      <w:r>
        <w:t>Die regionalen ärztlichen Dienste (RAD) stehen den IV-Stellen zur Beurteilung der medizinischen Voraussetzungen des Leistungsanspruchs zur Verfügung. Sie sind in ihrem medizinischen Sachentscheid im Einzelfall unabhängig (Art. 59 Abs. 2 bis IVG). Nach Art. 49 der Verordnung über die Invalidenversicherung ( IVV ) beurteilen die RAD die medizinischen Voraussetzungen des Leistungsan spruchs . Die geeigneten Prüfmethoden können sie im Rahmen ihrer medizini schen Fach kompetenz und der allgemeinen fachlichen Weisungen des Bundes amtes frei wählen (Abs. 1). Die RAD können Versicherte bei Bedarf selber ärzt lich unter 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 ben – den medizinischen Sachverhalt zusammenzufassen und zu würdigen, wozu namentlich auch gehört, bei widersprüchlichen medizinischen Akten eine Wertung vorzunehmen und zu beurteilen, ob auf die eine oder die andere An sicht abzustellen oder aber eine zusätzliche Untersuchung vorzunehmen sei. Sie würdigen die vorhandenen Befunde aus medizinischer Sicht (Urteil des Bundes gerichts 9C_406/2014 vom 31. Oktober</w:t>
      </w:r>
    </w:p>
    <w:p>
      <w:r>
        <w:t>2014 E. 3.5 mit Hinweisen).</w:t>
      </w:r>
    </w:p>
    <w:p>
      <w:r>
        <w:t>RAD-Berichte sind versicherungsinterne Dokumente, die von Art. 44 ATSG betreffend Gutachten nicht erfasst werden; die in dieser Norm vorgesehenen Verfahrensregeln entfalten daher bei Einholung von RAD-Berichten keine Wirkung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 gegeben worden ist, in der Beurteilung der medizinischen Zusammenhänge und in der Beurteilung der medizinischen Situation einleuchtet und die Schluss fol gerungen widerspruchsfrei begründet, nicht der gleiche Beweiswert zu (Urteil des Bundesgerichts 8C_971/2012 vom 11. Juni 2013 E. 3.4).</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 ren – nicht abgestellt werden, wenn auch nur geringe Zweifel an ihrer Zuver lässigkeit und Schlüssigkeit bestehen (Urteil des Bundesgerichts 8C_197/2014 vom 3. Oktober 2014 E. 4.2 mit Hinweisen auf BGE 139 V 225 E. 5.2; 135 V 465 E. 4.4 und E. 4.7).</w:t>
      </w:r>
    </w:p>
    <w:p>
      <w:r>
        <w:rPr>
          <w:b/>
        </w:rPr>
        <w:t>E. 1.4</w:t>
      </w:r>
    </w:p>
    <w:p>
      <w:r>
        <w:t>Das Gericht kann die Angelegenheit zu neuer Entscheidung an die Vorinstanz zurück 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 haupt nicht eingetreten ist oder es ohne materielle Prüfung abgelehnt hat, wenn schwierige Ermessensentscheide zu treffen sind, oder wenn der ent scheid rele vante Sachverhalt ungenügend abgeklärt ist (vgl. Urteil des Bundes gerichts U 209/02 vom 10. September 2003 E. 5.2). 2.</w:t>
      </w:r>
    </w:p>
    <w:p>
      <w:r>
        <w:t>2.1</w:t>
      </w:r>
    </w:p>
    <w:p>
      <w:r>
        <w:t>Die Beschwerdegegnerin führte zur Begründung ihrer leistungsabweisenden Verfügung (Urk. 2/2) aus, die Ursache der bei der Beschwerdeführerin diagnosti zierten Patellaluxation</w:t>
      </w:r>
    </w:p>
    <w:p>
      <w:r>
        <w:t>sei eine Trochleadysplasie , wobei der Befund erst im neunten Lebensjahr aufgefallen sei. Eine angeborene Patellaluxation im Sinne des Geburtsgebrec hens Ziffer 195 scheide deshalb aus. Des Weiteren fehle es auch an den Anspruchsvoraussetzungen für eine Kostengutsprache nach Art. 12 IVG.</w:t>
      </w:r>
    </w:p>
    <w:p>
      <w:r>
        <w:t>2.2</w:t>
      </w:r>
    </w:p>
    <w:p>
      <w:r>
        <w:t>Demgegenüber stellte sich der Vater der Beschwerdeführerin in der Beschwerde (Urk. 1) auf den Standpunkt, es liege eine angeborene Patellaluxation respektive das Geburtsgebrechen Ziffer 195 vor , und ber ief sich dabei auf die Berichte der behandelnden Ärzte der Z.___ Klinik vom 26. März und 12. Mai 2015 . 3. 3.1</w:t>
      </w:r>
    </w:p>
    <w:p>
      <w:r>
        <w:t>Dr. med. A.___ , Chef arzt Kinderorthopädie , und Dr. med. B.___ , Oberärztin Kinderorthopädie an der Z.___ Klinik,</w:t>
      </w:r>
    </w:p>
    <w:p>
      <w:r>
        <w:t>diagnostizierten in ihrem Bericht vom 26 . März 2015 (Urk. 7/10)</w:t>
      </w:r>
    </w:p>
    <w:p>
      <w:r>
        <w:t>eine Patellaluxation rechts bei massiver Troch lea dysplasie und entsprechender Dysplasie der Patella. Sie wiesen darauf hin, dass es sich gestützt auf den radiologischen Befund klar um eine kongenitale Patellaluxation handle. Der Umstand, dass der Befund erst vor einem Jahr auf gefallen sei, bedeute nicht, dass die Problematik nicht bereits vorbestehend ge wesen sei. Im frühen Kindesalter könne die se Pathologie teilweise kompensiert werden. Es liege zudem klar eine knöchern e Veränderung des Bewegungsap pa rates anlagebedingt vor (vgl. auch (Urk. 7/3/2-5 S. 3 Ziff. 1.6 und Urk. 7/21/1) . 3.2</w:t>
      </w:r>
    </w:p>
    <w:p>
      <w:r>
        <w:t>Der Vertrauensarzt der Krankversicherung der Versicherten , Dr. med. C.___ , Facharzt für Allgemeine Innere Medizin, wies am 7. April 2015 darauf hin, dass eine Trochleadysplasie ein Risikofaktor für eine Patellaluxation sei.</w:t>
      </w:r>
    </w:p>
    <w:p>
      <w:r>
        <w:t>Eine ange borene und bei Geburt nicht entdeckte Trochleadysplasie sei die Ursache des Geburtsgebrechens Ziffer 195 (Urk. 7/15) . 3. 3</w:t>
      </w:r>
    </w:p>
    <w:p>
      <w:r>
        <w:t>In ihrer Stellungnahme vom 14. April 2015 (Urk. 7/13) führte die RAD-Ärztin Dr. med. D.___ , Fachärztin für Kinder- und Jugendmedizin, aus, bei einer kon genitalen Patellaluxation sei die Patella sehr klein und fehle manchmal auch ganz. Die angeborene Luxation der Kniescheibe sei selten und komme gelegent lich im Rahmen des Nagel-Patella-Syndroms oder der Arth r ogrypose vor. Es sei möglich , dass die angeborene Patellaluxation</w:t>
      </w:r>
    </w:p>
    <w:p>
      <w:r>
        <w:t>bei Geburt nicht bemerkt we rde, sondern erst im Kleinkinder alter. Die Versicherte sei bei der Diagnose der ersten Patellaluxation aber bereits neun Jahre alt gewesen. Bei dem von den behan delnden Ärzten beschriebenen Befund handle es sich um eine Troch leadysplasie und eine Patelladysplasie . Bei einer Dysplasie werde indessen nicht das gleiche Ausmass wie bei einer angeborenen Patellaluxation erreicht. Solche Dysplasien könnten als angeboren anerkannt werden, wobei es sich dann aber um ange bo rene Dysplasien handle, welche zu einer Patellaluxation prädispo nier t en. Dies falls handle es sich allerdings nicht um eine angeborene Patellalu xation . Ent spre chend liege kein Geburtsgebrechen Ziffer 195 vor. Ebenso wenig liege das Geburtsgebrechen Ziffer 177 vor, da eine Patelladysplasie , eine Patella alta und andere Lageanomalien der Patella gemäss Kreisschreiben über die me dizini sche n Eingliederungsmassnahmen der Invalidenversicherung (KSME) Ziffer 177.4 nicht unter das Geburtsgebrechen</w:t>
      </w:r>
    </w:p>
    <w:p>
      <w:r>
        <w:t>Rz 177 fielen .</w:t>
      </w:r>
    </w:p>
    <w:p>
      <w:r>
        <w:t>Die RAD-Ärztin hielt am 28. April 2015 (Urk. 7/19) ergänzend fest, dass Patella luxationen , die sich erst nach dem Kleinkindesalter manifestierten , meistens auf Dysplasien der Trochlea</w:t>
      </w:r>
    </w:p>
    <w:p>
      <w:r>
        <w:t>oder hyperlaxen Bändern beruhten. Diese Symptome seien zwar angeboren, seien indessen nicht über die Invalidenversicherung ver sichert. 3.4</w:t>
      </w:r>
    </w:p>
    <w:p>
      <w:r>
        <w:t>Nach Erlass der angefochtenen Verfügung und der postoperativen Verlaufs kon trolle bekräftigte Dr. A.___ am 12. Mai 2015 unter Beilage des nicht akten kundigen Operationsberichts, dass die Versicherte eindeutig an einer kongeni talen Patellaluxation leide, welche bisher vernachlässigt beziehungsweise nicht entdeckt worden sei (Urk. 7/21). 4. 4.1</w:t>
      </w:r>
    </w:p>
    <w:p>
      <w:r>
        <w:t>Die Parteien sind sich einig, dass die Beschwerdeführerin an einer Patella luxation litt, welche operativ behandelt wurde (vgl. Urk. 7/3/3 und Urk. 7/21) . Un einig keit besteht demgegenüber über die Frage, ob es sich bei der diagnos ti zierten L uxation um ein angeborenes Leiden handelte. Während die behandeln den Ärzte und der Vertrauensarzt der Krankenversicherung von einer ange bo renen</w:t>
      </w:r>
    </w:p>
    <w:p>
      <w:r>
        <w:t>Patellaluxation ausgingen (vgl. E. 3.1-2 und E. 3.4 ), stellte sich die Be schwer degegnerin auf den Standpunkt, die nicht an geborene Patellaluxation sei allenfalls durch eine - nicht unter Ziffer 177</w:t>
      </w:r>
    </w:p>
    <w:p>
      <w:r>
        <w:t>GgV -Anhang fallende –</w:t>
      </w:r>
    </w:p>
    <w:p>
      <w:r>
        <w:t>konge ni tale Dy splasie begünstigt worden (vgl. E. 3.3). 4. 2</w:t>
      </w:r>
    </w:p>
    <w:p>
      <w:r>
        <w:t>Zu den Geburtsgebrechen gehört gemäss Ziffer 195 GgV -Anhang die angebo rene</w:t>
      </w:r>
    </w:p>
    <w:p>
      <w:r>
        <w:t>Patellaluxation , sofern eine Operation notwendig ist . Laut</w:t>
      </w:r>
    </w:p>
    <w:p>
      <w:r>
        <w:t>KSME Rz 195 in der vorliegend</w:t>
      </w:r>
    </w:p>
    <w:p>
      <w:r>
        <w:t>anwendbaren Fassung vom 1. Januar 201</w:t>
      </w:r>
    </w:p>
    <w:p>
      <w:r>
        <w:rPr>
          <w:b/>
        </w:rPr>
        <w:t>E. 5</w:t>
      </w:r>
    </w:p>
    <w:p>
      <w:r>
        <w:t>Die Kosten des Verfahrens gemäss Art. 69 Abs. 1 bis IVG sind ermessensweise auf Fr. 800.-- festzusetzen und entsprechend dem Ausgang des Verfahrens der un terliegenden Beschwerdegegnerin aufzuerlegen. Das Gericht erkennt: 1.</w:t>
      </w:r>
    </w:p>
    <w:p>
      <w:r>
        <w:t>Die Beschwerde</w:t>
      </w:r>
    </w:p>
    <w:p>
      <w:r>
        <w:t>wird in dem Sinne gutgeheissen, dass die angefochtene Verfügung vom 4. Mai 2015 aufgehoben und die Sache an die Sozialversicherungsanstalt des Kantons Zürich, IV-Stelle, zurückgewiesen wird, damit diese, nach erfolgter Abklärung im Sinne der Erwägungen, über den Anspruch der Versicherten neu verfüge . 2.</w:t>
      </w:r>
    </w:p>
    <w:p>
      <w:r>
        <w:t>Die Gerichtskosten von Fr. 800 .-- werden der Beschwerdegegnerin auferlegt. Rech nun g und Einzahlungsschein werden der Kostenpflichtigen nach Eintritt der Rechts 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