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IV.2015.00535 vom 23. Juni 2015</w:t>
      </w:r>
    </w:p>
    <w:p>
      <w:r>
        <w:t>ZH Sozialversicherungsgericht, 2015-06-23, DE</w:t>
      </w:r>
    </w:p>
    <w:p>
      <w:r>
        <w:rPr>
          <w:b/>
        </w:rPr>
        <w:t xml:space="preserve">Quelle: </w:t>
      </w:r>
      <w:r>
        <w:t>https://mcp.opencaselaw.ch/entscheid/zh_sozialversicherungsgericht_IV.2015.00535</w:t>
      </w:r>
    </w:p>
    <w:p>
      <w:r>
        <w:t>FR: ZH_SOZIALVERSICHERUNGSGERICHT IV.2015.00535 du 23 juin 2015</w:t>
      </w:r>
    </w:p>
    <w:p>
      <w:r>
        <w:t>IT: ZH_SOZIALVERSICHERUNGSGERICHT IV.2015.00535 del 23 giugno 2015</w:t>
      </w:r>
    </w:p>
    <w:p>
      <w:pPr>
        <w:pStyle w:val="Heading2"/>
      </w:pPr>
      <w:r>
        <w:t>Erwägungen</w:t>
      </w:r>
    </w:p>
    <w:p>
      <w:r>
        <w:rPr>
          <w:b/>
        </w:rPr>
        <w:t>E. 1</w:t>
      </w:r>
    </w:p>
    <w:p>
      <w:r>
        <w:t>Die 1972 geborene X.___ meldete sich am 1 4. Dezember 2012 unter Hin weis auf psychische Störungen sowie Alkoholmissbrauch bei der Eidgenös si schen</w:t>
      </w:r>
    </w:p>
    <w:p>
      <w:r>
        <w:t>Invalidenversicherung zum Leistungsbezug an (Urk. 6/2). Die Sozialver siche rungs anstalt des Kantons Zürich, IV-Stelle, tätigte daraufhin medizinische sowie erwerbliche Abklärungen und führte insbesondere eine Haushaltabklä rung durch (Bericht vom 3. Februar 2015, Urk. 6/45). In ihrem Vorbescheid vom 5. Februar 2015 sah die IV-Stelle vor, der Versicherten mit Wirkung ab 1. Dezember 2013 eine Viertelsrente zuzusprechen (Urk. 6/48). Mit Verfügung vom 2 7. März 2015 tat sie dies (Urk. 6/52 = Urk. 2).</w:t>
      </w:r>
    </w:p>
    <w:p>
      <w:r>
        <w:rPr>
          <w:b/>
        </w:rPr>
        <w:t>E. 2</w:t>
      </w:r>
    </w:p>
    <w:p>
      <w:r>
        <w:t>Laut Art. 57a Abs. 1 des Bundesgesetzes über die Invalidenversicherung (IVG), teilt die IV-Stelle der versicherten Person den vorgesehenen Endentscheid über ein Leistungsbegehren oder den Entzug oder die Herabsetzung einer bisher ge währten Leistung mittels Vorbescheid mit (Satz 1). Das Vorbescheidverfahren gemäss den in den Ratsdebatten übereinstimmend zum Ausdruck gebrachten gesetzgeberischen Intentionen hat zum Zweck, eine unkom plizierte und media tionsähnliche Diskussion des Sachverhalts zu ermöglichen, um dadurch die Akzep tanz des Entscheids bei den versicherten Personen zu verbessern (vgl. Hans-Jakob Mosimann, Vorbescheidverfahren statt Einspracheverfahren in der IV, SZS 2006 S.</w:t>
      </w:r>
    </w:p>
    <w:p>
      <w:r>
        <w:t>277 ff.). Das Vorbescheidverfahren dient auch der Ausübung des rechtlichen Gehörs, geht aber über den verfassungsrechtlichen Mindestan spruch (Art. 29 Abs. 2 BV) hinaus, indem es Gelegenheit gibt, sich nicht nur zur Sache, sondern auch zum vorgesehenen Endentscheid zu äussern, wohingegen nach dem verfassungsrechtlichen Mindestanspruch kein Anspruch besteht, zur vor gesehenen Erledigung Stellung zu nehmen (BGE 134 V 97 E. 2.8.1 und 125 V 401 E. 3e).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