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IV.2015.00514 vom 19. Mai 2015</w:t>
      </w:r>
    </w:p>
    <w:p>
      <w:r>
        <w:t>ZH Sozialversicherungsgericht, 2015-05-19, DE</w:t>
      </w:r>
    </w:p>
    <w:p>
      <w:r>
        <w:rPr>
          <w:b/>
        </w:rPr>
        <w:t xml:space="preserve">Quelle: </w:t>
      </w:r>
      <w:r>
        <w:t>https://mcp.opencaselaw.ch/entscheid/zh_sozialversicherungsgericht_IV.2015.00514</w:t>
      </w:r>
    </w:p>
    <w:p>
      <w:r>
        <w:t>FR: ZH_SOZIALVERSICHERUNGSGERICHT IV.2015.00514 du 19 mai 2015</w:t>
      </w:r>
    </w:p>
    <w:p>
      <w:r>
        <w:t>IT: ZH_SOZIALVERSICHERUNGSGERICHT IV.2015.00514 del 19 maggio 2015</w:t>
      </w:r>
    </w:p>
    <w:p>
      <w:pPr>
        <w:pStyle w:val="Heading2"/>
      </w:pPr>
      <w:r>
        <w:t>Erwägungen</w:t>
      </w:r>
    </w:p>
    <w:p>
      <w:r>
        <w:rPr>
          <w:b/>
        </w:rPr>
        <w:t>E. 1</w:t>
      </w:r>
    </w:p>
    <w:p>
      <w:r>
        <w:t>Mit Verfügungen vom 8. November 2002 und 3. März 2004 sprach die IV-Stelle der 1960 geborenen X.___ ab 1. Januar 2002 zunächst eine halbe und ab 1. November 2003 eine ganze Invalidenrente zu. Mit Mitteilungen vom 28. November 2007 und 3. Juni 2011 bestätigte sie einen unveränderten Invaliditätsgrad und Rentena nspruch. Im Juli 2012 leitete die IV-Stelle das aktuelle Revisionsverfahren ein, veranlasste eine Begutachtung der Versicherten beim Institut Y.___ und führ t e das Vor bescheidverfahren durch. Mit Verfügung vom 27. September 2013 setzte sie die bisherige ganze Invalidenrente auf das Ende des auf die Zustellung folgenden Monats auf eine halbe Invalidenrente (Invaliditätsgrad: 50 %) herab. Die von der Versicherten dagegen erhobene Beschwerde wies das hiesige Gericht mit Urteil vom 26. November 2014 ab ( Verfahren IV.2013.00973; Urk. 2/13).</w:t>
      </w:r>
    </w:p>
    <w:p>
      <w:r>
        <w:rPr>
          <w:b/>
        </w:rPr>
        <w:t>E. 2</w:t>
      </w:r>
    </w:p>
    <w:p>
      <w:r>
        <w:t>Nachdem die IV-Stelle im Verfahren IV.2013.00973 des hiesigen Gericht s</w:t>
      </w:r>
    </w:p>
    <w:p>
      <w:r>
        <w:t>in der Vernehmlassung vom 3. Dezember 2013 bereits eine reformatio in peius bean tragt hatte (Urk. 2/7), erhob sie gegen das am 26. November 2014 ergangene</w:t>
      </w:r>
    </w:p>
    <w:p>
      <w:r>
        <w:t>Urteil Beschwerde beim Bundesgericht . Sie beantragte, das</w:t>
      </w:r>
    </w:p>
    <w:p>
      <w:r>
        <w:t>Urteil sei aufzuheben und es sei festzustellen, dass kein Rentenanspruch bestehe (Urk. 2/15).</w:t>
      </w:r>
    </w:p>
    <w:p>
      <w:r>
        <w:rPr>
          <w:b/>
        </w:rPr>
        <w:t>E. 3</w:t>
      </w:r>
    </w:p>
    <w:p>
      <w:r>
        <w:t>Bei diesem Ergebnis wird die Beschwerdeführerin schlechter gestellt als mit der angefochtenen Verfügung der IV-Stelle vom 27. September 201 3. Die halbe Invalidenrente droht zu entfallen. Dementsprechend ist ihr Frist zur Stellung nahme und zur Erkl ärung darüber anzusetzen, ob sie an der Beschwerde fest halte oder ob sie diese zurückziehe. Das Gericht beschliesst: 1.</w:t>
      </w:r>
    </w:p>
    <w:p>
      <w:r>
        <w:t>Der Beschwerdeführerin wird eine Frist von 20 Tagen ab Erhalt dieses Beschlusses angesetzt, um zu der vom Gericht in Aussicht gestellten reformatio in peius im Doppel Stellung zu nehmen oder die Beschwerde zurückzuziehen.</w:t>
      </w:r>
    </w:p>
    <w:p>
      <w:r>
        <w:t>Geht innert dieser Frist keine Stellungnahme ein, geht das Gericht davon aus, dass die Beschwerdeführer in auf eine Stellungnahme verzichtet und an der Beschwerde fest hält. 2.</w:t>
      </w:r>
    </w:p>
    <w:p>
      <w:r>
        <w:t>Zustellung gegen Empfangsschein an: - TCL Treuhand Consulting Liegenschaften AG, unter Beilage des Rückzugsformulars sowie an: - Sozialversicherungsanstalt des Kantons Zürich, IV-Stelle Sozialversicherungsgericht des Kantons Zürich Die Gerichtsschreiberin 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