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IV.2015.00267 vom 30. April 2015</w:t>
      </w:r>
    </w:p>
    <w:p>
      <w:r>
        <w:t>ZH Sozialversicherungsgericht, 2015-04-30, DE</w:t>
      </w:r>
    </w:p>
    <w:p>
      <w:r>
        <w:rPr>
          <w:b/>
        </w:rPr>
        <w:t xml:space="preserve">Quelle: </w:t>
      </w:r>
      <w:r>
        <w:t>https://mcp.opencaselaw.ch/entscheid/zh_sozialversicherungsgericht_IV.2015.00267</w:t>
      </w:r>
    </w:p>
    <w:p>
      <w:r>
        <w:t>FR: ZH_SOZIALVERSICHERUNGSGERICHT IV.2015.00267 du 30 avril 2015</w:t>
      </w:r>
    </w:p>
    <w:p>
      <w:r>
        <w:t>IT: ZH_SOZIALVERSICHERUNGSGERICHT IV.2015.00267 del 30 aprile 2015</w:t>
      </w:r>
    </w:p>
    <w:p>
      <w:pPr>
        <w:pStyle w:val="Heading2"/>
      </w:pPr>
      <w:r>
        <w:t>Erwägungen</w:t>
      </w:r>
    </w:p>
    <w:p>
      <w:r>
        <w:rPr>
          <w:b/>
        </w:rPr>
        <w:t>E. 1</w:t>
      </w:r>
    </w:p>
    <w:p>
      <w:r>
        <w:t>und 2 des Gesetzes über das Sozialversicherungsgericht , GSVGer ) ,</w:t>
      </w:r>
    </w:p>
    <w:p>
      <w:r>
        <w:t>dass, falls die Beschwerde diesen Anforderungen nicht genügt, das Versiche rung s gericht der beschwerde führenden Person eine angemessene Frist zur Ver besserung ansetzt und damit die Androhung verbindet, dass sonst auf die Be schwer de nicht eingetreten werde ( Art. 61 lit . b Satz 2 ATSG, § 18 Abs.</w:t>
      </w:r>
    </w:p>
    <w:p>
      <w:r>
        <w:rPr>
          <w:b/>
        </w:rPr>
        <w:t>E. 3</w:t>
      </w:r>
    </w:p>
    <w:p>
      <w:r>
        <w:t>Zustellung gegen Empfangsschein an: - X.___ - Sozialversicherungsanstalt des Kantons Zürich, IV-Stelle, unter Beilage einer Kopie von Urk. 2-4 - Bun 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Gerichtsschreiber 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