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IV.2015.00185 vom 15. März 2016</w:t>
      </w:r>
    </w:p>
    <w:p>
      <w:r>
        <w:t>ZH Sozialversicherungsgericht, 2016-03-15, DE</w:t>
      </w:r>
    </w:p>
    <w:p>
      <w:r>
        <w:rPr>
          <w:b/>
        </w:rPr>
        <w:t xml:space="preserve">Quelle: </w:t>
      </w:r>
      <w:r>
        <w:t>https://mcp.opencaselaw.ch/entscheid/zh_sozialversicherungsgericht_IV.2015.00185</w:t>
      </w:r>
    </w:p>
    <w:p>
      <w:r>
        <w:t>FR: ZH_SOZIALVERSICHERUNGSGERICHT IV.2015.00185 du 15 mars 2016</w:t>
      </w:r>
    </w:p>
    <w:p>
      <w:r>
        <w:t>IT: ZH_SOZIALVERSICHERUNGSGERICHT IV.2015.00185 del 15 marzo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1982, Mutter einer 2004 geborene n Tochter, lebt mit ihrer Tochter sowie</w:t>
      </w:r>
    </w:p>
    <w:p>
      <w:r>
        <w:t>ihren Eltern zusammen im gleichen Haushalt. Die Eltern der Versicherten meldete n diese erstmals am 2 5. Oktober 1998 unter Hinweis auf eine nur beschränkt b enutzbare Hand bei der Invalidenversicherung zum Leistungsbezug an ( Urk. 8/3). Die Sozialversicherungsanstalt des Kantons Zürich, IV-Stelle, klärte die medizinische Situation ( Urk. 8/2, Urk. 8/4-5 ) ab und erteilte der Versicherten daraufhin mit Verfügung vom 1 9. Februar 1999 ( Urk. 8/7) Kostengutsprache für einen Einhändermaschinenschreibkurs . Nach weiteren Abklärungen ( Urk. 8/10-12) gewährte sie der Versicherten mit Verfü gung vom 1 8. August 1999 ( Urk. 8/14) eine dreimonatige Abklärung im Hin blick auf eine allfällige Bürolehre im Y.___ . Da die Versi cherte allerdings nicht an einer beruflichen Ausbildung interessiert war (vgl. Urk. 8/15 , Urk. 8/17 ), wurde das Leistungsgesuch mit Verfügung vom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