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IV.2015.00117 vom 14. Oktober 2016</w:t>
      </w:r>
    </w:p>
    <w:p>
      <w:r>
        <w:t>ZH Sozialversicherungsgericht, 2016-10-14, DE</w:t>
      </w:r>
    </w:p>
    <w:p>
      <w:r>
        <w:rPr>
          <w:b/>
        </w:rPr>
        <w:t xml:space="preserve">Quelle: </w:t>
      </w:r>
      <w:r>
        <w:t>https://mcp.opencaselaw.ch/entscheid/zh_sozialversicherungsgericht_IV.2015.00117</w:t>
      </w:r>
    </w:p>
    <w:p>
      <w:r>
        <w:t>FR: ZH_SOZIALVERSICHERUNGSGERICHT IV.2015.00117 du 14 octobre 2016</w:t>
      </w:r>
    </w:p>
    <w:p>
      <w:r>
        <w:t>IT: ZH_SOZIALVERSICHERUNGSGERICHT IV.2015.00117 del 14 ottobre 2016</w:t>
      </w:r>
    </w:p>
    <w:p>
      <w:pPr>
        <w:pStyle w:val="Heading2"/>
      </w:pPr>
      <w:r>
        <w:t>Erwägungen</w:t>
      </w:r>
    </w:p>
    <w:p>
      <w:r>
        <w:rPr>
          <w:b/>
        </w:rPr>
        <w:t>E. 2</w:t>
      </w:r>
    </w:p>
    <w:p>
      <w:r>
        <w:t>Die Gerichtskosten von Fr. 600 .-- werden der Beschwerdegegnerin auferlegt.</w:t>
      </w:r>
    </w:p>
    <w:p>
      <w:r>
        <w:t>Rech nung und Einzahlungsschein werden der Kostenpflichtigen nach Eintritt der Rechts kraft zugestellt.</w:t>
      </w:r>
    </w:p>
    <w:p>
      <w:r>
        <w:rPr>
          <w:b/>
        </w:rPr>
        <w:t>E. 3</w:t>
      </w:r>
    </w:p>
    <w:p>
      <w:r>
        <w:t>Zustellung gegen Empfangsschein an: - X.___ - Sozialversicherungsanstalt des Kantons Zürich, IV-Stelle - Bundesamt für Sozialversicherungen sowie an: - Gerichtskasse (im Dispositiv nach Eintritt der Rechtskraft)</w:t>
      </w:r>
    </w:p>
    <w:p>
      <w:r>
        <w:rPr>
          <w:b/>
        </w:rPr>
        <w:t>E.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(Art. 42 BGG). Sozialversicherungsgericht des Kantons Zürich Der VorsitzendeDie Gerichtsschreiberin GräubLocher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