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IV.2015.00079 vom 27. Februar 2015</w:t>
      </w:r>
    </w:p>
    <w:p>
      <w:r>
        <w:t>ZH Sozialversicherungsgericht, 2015-02-27, DE</w:t>
      </w:r>
    </w:p>
    <w:p>
      <w:r>
        <w:rPr>
          <w:b/>
        </w:rPr>
        <w:t xml:space="preserve">Quelle: </w:t>
      </w:r>
      <w:r>
        <w:t>https://mcp.opencaselaw.ch/entscheid/zh_sozialversicherungsgericht_IV.2015.00079</w:t>
      </w:r>
    </w:p>
    <w:p>
      <w:r>
        <w:t>FR: ZH_SOZIALVERSICHERUNGSGERICHT IV.2015.00079 du 27 février 2015</w:t>
      </w:r>
    </w:p>
    <w:p>
      <w:r>
        <w:t>IT: ZH_SOZIALVERSICHERUNGSGERICHT IV.2015.00079 del 27 febbraio 2015</w:t>
      </w:r>
    </w:p>
    <w:p>
      <w:pPr>
        <w:pStyle w:val="Heading2"/>
      </w:pPr>
      <w:r>
        <w:t>Erwägungen</w:t>
      </w:r>
    </w:p>
    <w:p>
      <w:r>
        <w:rPr>
          <w:b/>
        </w:rPr>
        <w:t>E. 1</w:t>
      </w:r>
    </w:p>
    <w:p>
      <w:r>
        <w:t>des Bundesgesetzes über die Invalidenversi cherung, IVG), dass die Leistung jedoch für einen längeren Zeitraum nachgezahlt wird, wenn die ver sicherte Person den anspruchsbegründenden Sachverhalt nicht kennen konnte und den Anspruch spätestens zwölf Monate, nachdem sie davon Kenntnis erhalten hat, geltend macht ( Art. 48 Abs.</w:t>
      </w:r>
    </w:p>
    <w:p>
      <w:r>
        <w:rPr>
          <w:b/>
        </w:rPr>
        <w:t>E. 2</w:t>
      </w:r>
    </w:p>
    <w:p>
      <w:r>
        <w:t>IVG), dass der vorleistungspflichtige Sozialversicherer befugt ist, die von der versicherten Person unterlassene Anmeldung aus eigenem Recht vorzunehmen , und dass das Anmelderecht demnach neben den in Art. 66 Abs. 1 der Verordnung über die Invalidenversicherung genannten Berechtig t en auch dem im Verhältnis zur Invalidenversicherung vorleistungspflichtigen Träger zusteht ( BGE 135 V 106 E. 6.3.2), dass die Beschwerdegegnerin in der angefochtenen Verfügung vom 6. Januar 2015 fälschlicherweise davon ausging, dass das Spital Y.___</w:t>
      </w:r>
    </w:p>
    <w:p>
      <w:r>
        <w:t>am 3 1. Januar 2013 der Beschwerdeführerin Rechnung für die Behandlungskosten der Versicherten gestellt hatte , aus dem Schreiben des Spitals Y.___ vom 1 7. November 2014 aber klar hervorgeht, dass die betreffende Rechnung der unzuständigen Sanitas zugestellt w orden war ( Urk. 7/28) , dass die Beschwerdeführerin ausweislich der Akten damit erst Kenntnis vom anspruchsbegründenden Sachverhalt bzw. von den Behandlung skosten der Versicherten vom 5. bis 1 1. November 2012</w:t>
      </w:r>
    </w:p>
    <w:p>
      <w:r>
        <w:t>im Spital Y.___ haben konnte , nachdem sie von deren Eltern , denen</w:t>
      </w:r>
    </w:p>
    <w:p>
      <w:r>
        <w:t>vom</w:t>
      </w:r>
    </w:p>
    <w:p>
      <w:r>
        <w:t>Spital Y.___</w:t>
      </w:r>
    </w:p>
    <w:p>
      <w:r>
        <w:t>am 2 3. Januar 2014 Rechnung gestellt wor den war ( Urk. 7/3) , i nformiert worden war , dass die Beschwerdeführ erin als vorleistungspflichtige Krankenversicher ung</w:t>
      </w:r>
    </w:p>
    <w:p>
      <w:r>
        <w:t>rechtspre chungsgemäss</w:t>
      </w:r>
    </w:p>
    <w:p>
      <w:r>
        <w:t>befugt war , sich aufgrund der mutmasslich nicht fristgerechten Anmeldung seitens der Eltern der Versicherten aus eigenem Recht bei der Beschwerdegegnerin anzumelden und dies</w:t>
      </w:r>
    </w:p>
    <w:p>
      <w:r>
        <w:t>mit Eingabe vom 1 6. April 2014 ( Urk. 7/18)</w:t>
      </w:r>
    </w:p>
    <w:p>
      <w:r>
        <w:t>– d ieses Schreiben ist als Anmeldung bei der Beschwerdegegnerin zu qualifizieren – fristgerecht innert der zwölf Monate, nachdem sie vom anspruchsbegründenden Sachverhalt Kenntn is erhalten hatte , getan hat, dass die angefochtene Verfügung vom 6. Januar 2015 daher aufzuheben und die Sache an die Beschwerdegegnerin zurückzuweisen ist, damit sie</w:t>
      </w:r>
    </w:p>
    <w:p>
      <w:r>
        <w:t>den Anspruch von X.___ (sel.) auf Kostengutsprache für medizinische Mass nahmen materiell prüfe</w:t>
      </w:r>
    </w:p>
    <w:p>
      <w:r>
        <w:t>und danach ü ber den Leistungsanspruch</w:t>
      </w:r>
    </w:p>
    <w:p>
      <w:r>
        <w:t>neu verfüge, dass die Rückweisung einer Sache an die Verwaltung zu weiteren Abklärungen und neuem Entscheid als vollständiges Obsiegen gilt und die Verfahrenskosten in der Höhe von Fr.</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