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IV.2014.01334 vom 27. September 2016</w:t>
      </w:r>
    </w:p>
    <w:p>
      <w:r>
        <w:t>ZH Sozialversicherungsgericht, 2016-09-27, DE</w:t>
      </w:r>
    </w:p>
    <w:p>
      <w:r>
        <w:rPr>
          <w:b/>
        </w:rPr>
        <w:t xml:space="preserve">Quelle: </w:t>
      </w:r>
      <w:r>
        <w:t>https://mcp.opencaselaw.ch/entscheid/zh_sozialversicherungsgericht_IV.2014.01334</w:t>
      </w:r>
    </w:p>
    <w:p>
      <w:r>
        <w:t>FR: ZH_SOZIALVERSICHERUNGSGERICHT IV.2014.01334 du 27 septembre 2016</w:t>
      </w:r>
    </w:p>
    <w:p>
      <w:r>
        <w:t>IT: ZH_SOZIALVERSICHERUNGSGERICHT IV.2014.01334 del 27 settembre 2016</w:t>
      </w:r>
    </w:p>
    <w:p>
      <w:pPr>
        <w:pStyle w:val="Heading2"/>
      </w:pPr>
      <w:r>
        <w:t>Erwägungen</w:t>
      </w:r>
    </w:p>
    <w:p>
      <w:r>
        <w:rPr>
          <w:b/>
        </w:rPr>
        <w:t>E. 1</w:t>
      </w:r>
    </w:p>
    <w:p>
      <w:r>
        <w:t>Die 1957 geborene X.___ stürzte am 18. August 2009 mit dem Fahrrad und zog sich eine dislozierte distale Radiusfraktur Typ Smith links und ein Hämatom supraorbital links zu. Am 16. Februar 2011 kam sie beim Joggen erneut zu Fall und erlitt eine distale mehrfach intraartikuläre Radiusfraktur rechts</w:t>
      </w:r>
    </w:p>
    <w:p>
      <w:r>
        <w:t>(Urteil UV.2 013.00065 in Sachen der Versicherten gegen den Unfallversi cherer , Urk. 6/61/2-14, Sachverhalt Ziff. 1). Zuvor, am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 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w:t>
      </w:r>
    </w:p>
    <w:p>
      <w:r>
        <w:t>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1.5</w:t>
      </w:r>
    </w:p>
    <w:p>
      <w:r>
        <w:t>Die von einer qualifizierten Person durchgeführte Abklärung vor Ort (nach Mass gabe des Art. 69 Abs. 2 der Verordnung über die Invalidenversicherung [ IVV ] ; vgl. auch Rz . 3084 ff. des Kreisschreibens des BSV über Invalidität und Hilflosigkeit in der Invalidenversicherung [KSIH]) stellt für gewöhnlich die ge 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w:t>
      </w:r>
    </w:p>
    <w:p>
      <w:r>
        <w:t>2.1</w:t>
      </w:r>
    </w:p>
    <w:p>
      <w:r>
        <w:t>Die Beschwerdegegnerin begründete die Rentenablehnung – unter Hinweis auf den Haushaltsabklärungsbericht – damit, dass die Beschwerdeführerin im Ge sundheitsfall einer Erwerbstätigkeit als Pflegehelferin mit einem Pensum von</w:t>
      </w:r>
    </w:p>
    <w:p>
      <w:r>
        <w:t>50 % nachginge und im Übrigen im Aufgabenbereich Haushalt tätig wäre. Aus medizinischer Sicht bestehe gestützt auf die Festlegungen im unfallversiche rungsrechtlichen Verfahren eine Einschränkung von 10 % (Teilinvaliditätsgrad von 5 %). Bei einer Einschränkung von 38.60 % im Aufgabenbereich Haushalt (Teilinvaliditätsgrad von 19.30 %) resultiere ein rentenausschliessender Ge samtinvaliditätsgrad von 24 % ( Urk. 2). 2.2</w:t>
      </w:r>
    </w:p>
    <w:p>
      <w:r>
        <w:t>Die Beschwerdeführerin stellte sich demgegenüber im Wesentlichen auf den Standpunkt , bei guter Gesundheit wäre sie nicht 50 %, sondern bis 29. Februar 2010 46.9 % und ab 1. März 2012 – ab diesem Zeitpunkt beziehe ihr Ehemann eine AHV-Rente – 36.9 % arbeitstätig gewesen. Ihr zweiter Unfall habe zu Ein schränkungen der rechten Hand geführt, die von der Abklärungsperson zwar berücksichtigt, im Feststellungsblatt indes als vorübergehend qualifiziert und damit nicht be achtet worden seien. Als Folge ihrer beiden Unfälle sei sie beid händig behindert, weshalb auf die im Haushaltsabklärungsbericht festgehaltene , ab 17. Februar 2011 gültige Einschränkung von 57.35 % im Haushaltsbereich abzustellen sei. Dies ergebe ab 1. März 2012 einen Gesamtinvaliditätsgrad von 40 % ( Urk. 1).</w:t>
      </w:r>
    </w:p>
    <w:p>
      <w:r>
        <w:rPr>
          <w:b/>
        </w:rPr>
        <w:t>E. 3</w:t>
      </w:r>
    </w:p>
    <w:p>
      <w:r>
        <w:t>Nach der Rechtsprechung sind die Vorsorgeeinrichtungen im Bereich der gesetzli chen Mindestvorsorge an die Feststellungen der IV-Organe gebunden. Dies gilt, soweit die invalidenversicherungsrechtliche Betrachtungsweise auf Grund der gesamthaften Prüfung der Akten nicht als offensichtlich unhaltbar erscheint. Des Weiter e n entfällt eine Bindungswirkung, wenn die Vorsorgeein richtung nicht ins invalidenversicherungsrechtliche Verfahren einbezogen wird. Denn den Versicherern nach BVG steht in diesem Verfahren ein selbständiges Beschwerderecht zu. Deshalb ist die IV-Stelle verpflichtet, eine Rentenverfügung allen in Betracht fallenden Vorsorgeeinrichtungen von Amtes wegen zu eröff nen. Unterbleibt ein solches Einbeziehen der Vorsorgeeinrichtung, ist die invali denversicherungsrechtliche Festsetzung des Invaliditätsgrades berufsvorsorge rechtlich nicht verbindlich. Hält sich die Vorsorgeeinrichtung demgegenüber im Rahmen des Verfügten, kommt ohne Weiterungen die vom Gesetzgeber ge wollte, in den Art. 23 ff. des Bundesgesetzes über die berufliche Alters-, Hin terlassenen- und Invalidenvorsorge ( BVG ) zum Ausdruck gebrachte Verbind lichkeitswirkung des Entscheids der Invalidenversicherung zum Zuge. Stellt die Vorsorgeeinrichtung auf die invalidenversicherungsrechtliche Betrachtungs weise ab, muss sich die versicherte Person dies entgegenhalten lassen, soweit diese für die Festlegung des Anspruchs auf eine Rente entscheidend war, und zwar ungeachtet dessen, ob die Vorsorgeeinrichtung im invalidenversiche rungsrechtlichen Verfahren beteiligt war oder nicht; auch hier bleibt die offen sichtliche Unhaltbarkeit der Invaliditätsbemessung d urch die IV-Stelle vorbe halten.</w:t>
      </w:r>
    </w:p>
    <w:p>
      <w:r>
        <w:t>Da sich die Verbindlichkeitswirkung nur in Bezug auf Feststellungen und Beurtei lungen der IV-Organe entfalten kann, die im IV-rechtlichen Verfahren für die Festlegung des Anspruches auf eine Invalidenrente entscheidend waren, besteht namentlich keine Bindungswirkung an einen von der IV-Stelle ermit telten Invaliditätsgrad, welcher die gesetzliche Mindestgrenze von 40 % (Art. 28 Abs. 1 und 2 IVG) nicht erreicht, weil in diesem unterhalb der Erheblichkeits schwelle liegenden Bereich für die Organe der Invalidenversicherung keine Ver anlassung besteht, eine genaue Bestimmung des Invaliditätsgrades vorzuneh men (Urteil des Bundesgerichts 9C_8/2009 vom 30. März 2009 E. 3.2 mit wei teren Hinweisen ).</w:t>
      </w:r>
    </w:p>
    <w:p>
      <w:r>
        <w:rPr>
          <w:b/>
        </w:rPr>
        <w:t>E. 3.1</w:t>
      </w:r>
    </w:p>
    <w:p>
      <w:r>
        <w:t>D as für die Beschwerdeerhebung nebst anderem erforderliche schutzwürdige Interesse an der Aufhebung oder Änderung der angefochtenen Verfügung ( Art. 59 ATSG; vgl. auch Art. 89 Abs. 1 lit . c des Bundesgesetzes über das Bun desgericht [ BGG ] und die frühere Regelung gemäss Art. 103 lit . a des Bundes gesetzes über die Organisation der Bundesrechtspflege [ OG ] ) wird praxisgemäss verneint, wenn sich die Beschwerde nur gegen die Begründung der angefochte nen Verfügung richtet, ohne dass eine Änderung des Dispositivs verlangt wird. Diesfalls setzt das Eintreten auf die Beschwerde voraus, dass die beschwerde führende Person ein schutzwürdiges Interesse an der sofortigen Feststellung hinsichtlich des angefochtenen Verfügungsbestandteils (hier des Invaliditätsgra des ) hat ( Urteil des Bundesgerichts 8C_235/2015 vom 3. Juli 2015 E. 3).</w:t>
      </w:r>
    </w:p>
    <w:p>
      <w:r>
        <w:rPr>
          <w:b/>
        </w:rPr>
        <w:t>E. 4</w:t>
      </w:r>
    </w:p>
    <w:p>
      <w:r>
        <w:t>Nach dem Gesagten entfaltet die Rentenverfügung mithin für die berufliche Vorsorge keine Bindungswirkung, weshalb ein schutzwürdiges Interesse der Beschwerdeführerin an der Anfechtung derselben und an der Feststellung eines bestimmten Invaliditätsgrades auch im Hinblick auf die Zusprechung einer Rente der beruflichen Vorsorge zu verneinen ist. Auf die Rechtsbegehren Ziff. 2 und Ziff. 3 ist damit nicht einzutreten.</w:t>
      </w:r>
    </w:p>
    <w:p>
      <w:r>
        <w:rPr>
          <w:b/>
        </w:rPr>
        <w:t>E. 4.1</w:t>
      </w:r>
    </w:p>
    <w:p>
      <w:r>
        <w:t>Gemäss dem Urteil der zweiten Kammer des Europäischen Gerichtshofs für Men schenrechte (EGMR) in Sachen Di Trizio gegen die Schweiz vom 2. Februar 2016 (7186/09) verletzte die Anwendung der gemischten Invali ditäts bemes sungsmethode in der Invalidenversicherung bei einer Versicherten, welche ohne gesundheitliche Einschränkung en nach der Geburt ihrer Kinder nur noch teil zeitlich erwerbstätig gewesen wäre und deshalb im Rentenrevisionsverfahren ihren Anspruch auf eine Invalidenrente verlor, Art. 14 der Konvention zum Schutze der Menschenrechte und Grundfreiheiten (EMRK; Di skriminierungsver bot) in Verbindung mit Art. 8 EMRK (Recht auf Achtung des Privat- und Fami lienlebens) . Ob und gegebenenfalls inwiefern das genannte Urteil des EGMR Auswirkungen auf die Rechtsprechung zur Invalidenversicherung nach der ge mischten Methode zur Folge haben wird, ist zurzeit noch ungewiss . Vorliegend verhält es sich indes nicht so, dass die Beschwerdeführerin wegen der Wahr nehmung von Betreuungsaufgaben gegenüber Familienmitgliedern – ihre Kin der sind 1991 und 1993 geboren (Urk.  6/48 S. 3) und damit volljährig – ledig lich eine Teilzeiterwerbstätigkeit ausgeübt hätte. Es besteht daher kein familiär bedingter Grund, lediglich teilzeitlich zu arbeiten. Es ist somit nicht ersichtlich, inwiefern die Anwendung der gemischten Methode zu einer Verletzung des Rechts auf Achtung des Privat- und Familienlebens führen könnte. Die Be schwerdeführerin hat betreffend die Anwendung der gemischten Methode an sich auch keine Rüge erhoben (vgl. Urteil des Bundesgerichts 8C_940/2015 vom 19. April 2016 E. 5 mit Hinweisen). Die Invaliditätsbemessung ist demnach vor liegend weiterhin nach der gemischten Methode vorzunehmen.</w:t>
      </w:r>
    </w:p>
    <w:p>
      <w:r>
        <w:rPr>
          <w:b/>
        </w:rPr>
        <w:t>E. 4.2</w:t>
      </w:r>
    </w:p>
    <w:p>
      <w:r>
        <w:t>Der vom hiesigen Gericht mit Urteil UV.2013.00065 vom 30. Juli 2014 festge stellte Invaliditätsgrad von 10 % im Erwerbsbereich ( Urk. 6/61/2-14) , bestätigt durch das Urteil des Bundesgerichts 8C_593/2014 vom 8. Oktober 2014 ( Urk. 6/61/15-19), wird von der Beschwerdeführerin nicht mehr in Frage gestellt (Urk. 1 S. 2). Strittig bleibt hingegen, in welchem Ausmass sie im Gesundheits fall im Erwerbsbereich respektive im Haushalt tätig wäre und wie gross die Be einträchtigung in der Haushaltsführung ist .</w:t>
      </w:r>
    </w:p>
    <w:p>
      <w:r>
        <w:rPr>
          <w:b/>
        </w:rPr>
        <w:t>E. 4.3</w:t>
      </w:r>
    </w:p>
    <w:p>
      <w:r>
        <w:t>In Ziff. 2.5 des Haushaltsabklärungsberichts vom 1 0. April 2013 wurde auf die Frage, ob die Versicherte heute ohne Behinderung eine Erwerbstätigkeit ausü ben würde, als Antwort der Beschwerdeführerin aufgeführt, sie hätte bei guter Gesundheit weiterhin bei der Y.___ AG gearbeitet. Sie hätte sich vorgestellt, das Pensum etwas zu erhöhen, und zwar um 10 % au f eine 50%ige Erwerbstä tigkeit ( Urk. 6/48 S. 3). Hinweise darauf, dass die Abklärungsperson die Aussa gen der Beschwerdeführerin unzutreffend protokolliert hätte, sind nicht ers icht lich. Diesbezüglich ist überdies auf die im Sozialversicherungsrecht geltende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w:t>
      </w:r>
    </w:p>
    <w:p>
      <w:r>
        <w:t>V 45 E. 2a). Hierzu fällt dann auch auf, dass die Beschwerdeführerin in ihrem ersten Einwandschreiben vom 1 3. Januar 2014 – in Übereinstimmung mit den Feststellungen im Abklärungsbericht –</w:t>
      </w:r>
    </w:p>
    <w:p>
      <w:r>
        <w:t>noch von einem Umfang der erwerb li chen Tätigkeit von 50 % ausging ( Urk. 6/52 S. 2) und sie sich erst in ihrem Einwand vom 2 6. Oktober 2014 – der nach Erlass des bundesgerichtlichen Ur teils im unfallversicherungsrechtlichen Verfahren</w:t>
      </w:r>
    </w:p>
    <w:p>
      <w:r>
        <w:t>verfasst wurde – auf den Standpunkt stellt e, sie wäre im Gesundheitsfall lediglich zu 30 % im Erwerbs bereich tätig gewesen ( Urk. 6/58).</w:t>
      </w:r>
    </w:p>
    <w:p>
      <w:r>
        <w:rPr>
          <w:b/>
        </w:rPr>
        <w:t>E. 4.4</w:t>
      </w:r>
    </w:p>
    <w:p>
      <w:r>
        <w:t>D ass die Beschwerdeführerin im Validitätsfall einer 50%igen E rwerbstätigkeit nachgehen würde, ist auch aus dem Umstand zu schliessen, dass die Y.___ AG bei Anstellungen im Stundenlohn seit 1. Januar 2009 die Ausübung eines Min destpensums von 40 % voraussetzte ( Urk. 6/48 S. 2) und die Beschwerdeführe rin (anfänglich) eine Erhöhung ihrer Erwerbstätigkeit um 10 % zu Weiterbil dungszwecken</w:t>
      </w:r>
    </w:p>
    <w:p>
      <w:r>
        <w:t>bejahte ( Urk. 1 S. 3). Das Vorbringen der B eschwerdeführerin, sie hätte nach Erreichen des AHV-Rentenalters durch den Ehemann ihr Pensum wieder reduziert oder vielleicht ganz aufgehört zu arbeiten ( Urk. 1 S. 3), vermag sodann nicht zu überzeugen. Denn dies machte sie anlässlich der Haushaltsab klärung , die mehr als ein Jahr nach besagtem Zeitpunkt stattfand, gerade nicht geltend , obwohl sich die familiäre Situation schon damals genau so präsen tierte .</w:t>
      </w:r>
    </w:p>
    <w:p>
      <w:r>
        <w:t>Sie gab vielmehr im unfallversicherungsrechtlichen Beschwerdeverfahren – wiederum im März 2013 – an, es sei unbestritten, dass sie ihre bisherige Tä tigkeit fortgese tzt hätte (Urk. 6/45/48-65 S. 10). Ausserdem begründete sie an lässlich der Haushaltsabklärung die Pensum s erhöhung</w:t>
      </w:r>
    </w:p>
    <w:p>
      <w:r>
        <w:t>auch damit, es sei durch das Studium der Tochter zu einer angestiegenen finanziellen Belastung gekom men ( Urk. 6/48 S. 3) , weshalb der Umstand, dass der sich im vierten Lehrjahr befindliche Sohn finanziell unabhängiger war ( Urk. 1 S. 3) , nicht entscheidend ins Gewicht fällt.</w:t>
      </w:r>
    </w:p>
    <w:p>
      <w:r>
        <w:rPr>
          <w:b/>
        </w:rPr>
        <w:t>E. 5</w:t>
      </w:r>
    </w:p>
    <w:p>
      <w:r>
        <w:t>Ob von einer Einschränkung im Haushaltsbereich von 38.60 % oder 57.35 % (ab 1 7. Februar 2011) auszugehen ist, kann sodann offen bleiben. Denn s elbst wenn von einer Einschrän kung von 57.35 % ausgegangen würde, was angesichts der Leiden der Beschwerdeführerin – ihr ist unter anderem der Besuch eines Näh kurses und die Herstellung eines T-Shirts möglich ( Urk. 6/48 S. 8) –</w:t>
      </w:r>
    </w:p>
    <w:p>
      <w:r>
        <w:t>als überaus grosszügig erscheint und zudem fraglich bleibt, ob Einschränkungen bei der Ausübung von Reinigungs- und Unterhaltsarbeiten im und am Ferienhaus der Familie in Z.___ berücksichtigt werden können und ob dem Umstand, dass der Ehemann keiner ausserhäuslichen Arbeit mehr nachgeht, im Rahmen der Schadenminderungspflicht genügend Rechnung getragen wurde, ergäbe sich bei einem solchermassen ermittelten Teilinvaliditätsgrad im Haushaltsbereich von 29 % ein rentenausschliessender Gesamtinvaliditätsgrad von 34 %. %1. Zusammenfassend ist festzuhalten, dass die angefochtene Verfügung nicht zu beanstanden ist. Die Beschwerde ist demnach abzuweisen, soweit darauf einge treten werden kann.</w:t>
      </w:r>
    </w:p>
    <w:p>
      <w:r>
        <w:rPr>
          <w:b/>
        </w:rPr>
        <w:t>E. 6</w:t>
      </w:r>
    </w:p>
    <w:p>
      <w:r>
        <w:t>.</w:t>
      </w:r>
    </w:p>
    <w:p>
      <w:r>
        <w:t>Die Kosten des Verfahrens sind auf Fr. 700.-- festzulegen und ausgangsgemäss der Beschwerdeführerin aufzuerlegen ( Art. 69 Abs. 1 bis IVG). Das Gericht erkennt: 1.</w:t>
      </w:r>
    </w:p>
    <w:p>
      <w:r>
        <w:t>Die Beschwerde wird abgewiesen, soweit darauf eingetreten wird. 2.</w:t>
      </w:r>
    </w:p>
    <w:p>
      <w:r>
        <w:t>Die Gerichtskosten von Fr. 700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