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IV.2014.01314 vom 29. Mai 2015</w:t>
      </w:r>
    </w:p>
    <w:p>
      <w:r>
        <w:t>ZH Sozialversicherungsgericht, 2015-05-29, DE</w:t>
      </w:r>
    </w:p>
    <w:p>
      <w:r>
        <w:rPr>
          <w:b/>
        </w:rPr>
        <w:t xml:space="preserve">Quelle: </w:t>
      </w:r>
      <w:r>
        <w:t>https://mcp.opencaselaw.ch/entscheid/zh_sozialversicherungsgericht_IV.2014.01314</w:t>
      </w:r>
    </w:p>
    <w:p>
      <w:r>
        <w:t>FR: ZH_SOZIALVERSICHERUNGSGERICHT IV.2014.01314 du 29 mai 2015</w:t>
      </w:r>
    </w:p>
    <w:p>
      <w:r>
        <w:t>IT: ZH_SOZIALVERSICHERUNGSGERICHT IV.2014.01314 del 29 maggio 2015</w:t>
      </w:r>
    </w:p>
    <w:p>
      <w:pPr>
        <w:pStyle w:val="Heading2"/>
      </w:pPr>
      <w:r>
        <w:t>Erwägungen</w:t>
      </w:r>
    </w:p>
    <w:p>
      <w:r>
        <w:rPr>
          <w:b/>
        </w:rPr>
        <w:t>E. 1.1</w:t>
      </w:r>
    </w:p>
    <w:p>
      <w:r>
        <w:t>X.___ , geboren 1954, ist seit 1996 als Parfumverkäuferin bei der Y.___ AG tätig. Am 3 0. November 2009 meldete sie sich wegen Kniebe schwer den bei der Eidgenössischen Invalidenversicherung zum Leistungsbezug an ( Urk. 6/1). Mit Verfügung vom 2 5. Juli 2012 sprach die Sozialversicherungsan stalt des Kantons Zürich, IV-Stelle, der Versicherten für die Zeit vom 1. Juni bis 3 1. Oktober 2010 eine befristete halbe Invalidenrente und für die Zeit vom 1. November bis 3 1. Dezember 2010 eine befristete ganze Invalidenrente zu. Sie hielt fest, ab dem 1. Januar 2011 bestehe kein Rentenanspruch mehr ( Urk. 6/64, Urk. 6/67) . Die Versicherte liess am 1 3. September 2012 gegen diese Verfügung Beschwerde erheben ( Urk. 6/70/3-12). Das Sozialversicherungsgericht des Kan tons Zürich hiess die Beschwerde mit Urteil vom 2 5. April 2014 in dem Sinne teilweise gut, dass es die Verfügung vom 2 5. Juli 2012 aufhob, soweit diese den Rentenanspruch ab dem 1. Januar 2011 verneinte. Die Sache wurde zur ergän zen den medizinischen Abklärung und zum Neuentscheid an die IV-Stelle zurück gewiesen ( Urk. 6/79).</w:t>
      </w:r>
    </w:p>
    <w:p>
      <w:r>
        <w:rPr>
          <w:b/>
        </w:rPr>
        <w:t>E. 1.2</w:t>
      </w:r>
    </w:p>
    <w:p>
      <w:r>
        <w:t>In Umsetzung des Urteils vom 2 5. April 2014 teilte die IV-Stelle der Versicher ten mit Schreiben vom 1 5. Oktober 2014 mit, dass eine medizinische Begut ach tung im Fachbereich Rheumatologie notwendig sei. Die Begutachtung werde durch Dr. med. Z.___ , Fachärztin für Rheumatologie, durchgeführt. Triftige Einwendungen gegen die Art der Begutachtung, die vorgesehene Fachdisziplin so wie die begutachtende Person seien bis am 2 9. Oktober 2014 schriftlich ein zureichen. Innert der gleichen Frist seien allfällige Zusatzfragen zu stellen ( Urk. 6/94) . Dem Schreiben legte sie den Fragekatalog an die Gutachterin bei ( Urk. 6/92/3, Urk. 6/93). Mit Schreiben vom 2 7. Oktober 2014 erklärte sich der Rechtsvertreter der Versicherten mit einer monodisziplinären rheumatologischen Begutachtung nicht einverstanden und verlangte eine polydisziplinäre Abklä rung. Es sei die Fachdisziplin Orthopädie miteinzubeziehen, da eine Gonarthrose und lumbale Beschwerden zu berücksichtigen seien. Zudem leide die Versicherte an multiplen Beschwerd en, weshalb auch eine allgemein internistische Abklä rung notwendig sei ( Urk. 6/95). Mit Verfügung vom 7. November 2014 hielt die IV-St elle an einer monodisziplinären rheumatologischen Begutachtung fest ( Urk. 2).</w:t>
      </w:r>
    </w:p>
    <w:p>
      <w:r>
        <w:rPr>
          <w:b/>
        </w:rPr>
        <w:t>E. 2</w:t>
      </w:r>
    </w:p>
    <w:p>
      <w:r>
        <w:t>Hiergegen liess die Versicherte, vertreten durch Rechtsanwalt Walter Keller, mit Eingabe vom 1 2. Dezember 2014 Beschwerde erheben mit dem Antrag, die Ver fügung vom 7. November 2014 sei aufzuheben und die vorgesehene Begut achtung sei polydisziplinär (orthopädisch, rheumatologisch, allgemein internis tisch ) durchzuführen ( Urk. 1). Die IV-Stelle schloss am 2 2. Januar 2015 auf Ab weisung der Beschwerde ( Urk. 5).</w:t>
      </w:r>
    </w:p>
    <w:p>
      <w:r>
        <w:t>Auf die Ausführungen der Parteien und die eingereichten Unterlagen wird, so 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