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IV.2014.01196 vom 13. März 2015</w:t>
      </w:r>
    </w:p>
    <w:p>
      <w:r>
        <w:t>ZH Sozialversicherungsgericht, 2015-03-13, DE</w:t>
      </w:r>
    </w:p>
    <w:p>
      <w:r>
        <w:rPr>
          <w:b/>
        </w:rPr>
        <w:t xml:space="preserve">Quelle: </w:t>
      </w:r>
      <w:r>
        <w:t>https://mcp.opencaselaw.ch/entscheid/zh_sozialversicherungsgericht_IV.2014.01196</w:t>
      </w:r>
    </w:p>
    <w:p>
      <w:r>
        <w:t>FR: ZH_SOZIALVERSICHERUNGSGERICHT IV.2014.01196 du 13 mars 2015</w:t>
      </w:r>
    </w:p>
    <w:p>
      <w:r>
        <w:t>IT: ZH_SOZIALVERSICHERUNGSGERICHT IV.2014.01196 del 13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</w:t>
      </w:r>
    </w:p>
    <w:p>
      <w:r>
        <w:t>in dem Sinne gutgeheissen, dass die angefochtene Verfügung vom 9. Oktober 2014 aufgehoben und die Sache an die Sozialversicherungsanstalt des Kantons Zürich, IV-Stelle, zurückgewiesen wird, damit diese nach erfolgter Abklärung im Sinne der Erwägungen über den Anspruch auf Umschulung neu verfüge.</w:t>
      </w:r>
    </w:p>
    <w:p>
      <w:r>
        <w:rPr>
          <w:b/>
        </w:rPr>
        <w:t>E. 2</w:t>
      </w:r>
    </w:p>
    <w:p>
      <w:r>
        <w:t>Die Gerichtskosten von Fr. 500 .-- werden der Beschwerdegegnerin auferlegt. Rech nung und Einzahlungsschein werden der Kostenpflichtigen nach Eintritt der Rechts kraft zugestellt.</w:t>
      </w:r>
    </w:p>
    <w:p>
      <w:r>
        <w:rPr>
          <w:b/>
        </w:rPr>
        <w:t>E. 3</w:t>
      </w:r>
    </w:p>
    <w:p>
      <w:r>
        <w:t>Die Beschwerdegegnerin wird verpflichtet, der Beschwerdeführerin eine Prozessentschä digung von Fr. 1‘600 .-- (inkl. Barauslagen und MWSt ) zu bezahlen.</w:t>
      </w:r>
    </w:p>
    <w:p>
      <w:r>
        <w:rPr>
          <w:b/>
        </w:rPr>
        <w:t>E. 4</w:t>
      </w:r>
    </w:p>
    <w:p>
      <w:r>
        <w:t>Zustellung gegen Empfangsschein an: - Rechtsanwalt Christos Antoniadis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 Die Gerichtsschreiberin Hurst F. Brühwiler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