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IV.2014.01081 vom 13. Juli 2015</w:t>
      </w:r>
    </w:p>
    <w:p>
      <w:r>
        <w:t>ZH Sozialversicherungsgericht, 2015-07-13, DE</w:t>
      </w:r>
    </w:p>
    <w:p>
      <w:r>
        <w:rPr>
          <w:b/>
        </w:rPr>
        <w:t xml:space="preserve">Quelle: </w:t>
      </w:r>
      <w:r>
        <w:t>https://mcp.opencaselaw.ch/entscheid/zh_sozialversicherungsgericht_IV.2014.01081</w:t>
      </w:r>
    </w:p>
    <w:p>
      <w:r>
        <w:t>FR: ZH_SOZIALVERSICHERUNGSGERICHT IV.2014.01081 du 13 juillet 2015</w:t>
      </w:r>
    </w:p>
    <w:p>
      <w:r>
        <w:t>IT: ZH_SOZIALVERSICHERUNGSGERICHT IV.2014.01081 del 13 luglio 2015</w:t>
      </w:r>
    </w:p>
    <w:p>
      <w:pPr>
        <w:pStyle w:val="Heading2"/>
      </w:pPr>
      <w:r>
        <w:t>Erwägungen</w:t>
      </w:r>
    </w:p>
    <w:p>
      <w:r>
        <w:rPr>
          <w:b/>
        </w:rPr>
        <w:t>E. 11</w:t>
      </w:r>
    </w:p>
    <w:p>
      <w:r>
        <w:t>Abs. 1 des Gesetzes über das Sozialversicherungsgericht), invalide oder von einer Invalidität bedrohte Versicherte gemäss Art. 8 Abs. 1 des Bundesgesetzes über die Invalidenversicherung (IVG)</w:t>
      </w:r>
    </w:p>
    <w:p>
      <w:r>
        <w:t>Anspruch auf Einglie derungsmassnahmen haben , soweit diese notwendig und geeignet sind, die Er werbsfähigkeit oder die Fähigkeit, sich im Aufgabenbereich zu betätigen, wieder herzustellen , zu erhalten oder zu verbessern , und die Voraussetzungen für den Anspruch auf die einzeln en Massnahmen erfüllt sind , z u diesen Massnahmen im Rahmen einer vom Bundesrat aufzustellenden Liste die Hilfsmittel</w:t>
      </w:r>
    </w:p>
    <w:p>
      <w:r>
        <w:t>gehören, derer eine versicherte Person für die Ausübung der Er werbstätigkeit oder der Tätigkeit im Aufgabenbereich, zur Erhaltung oder Ver besserung der Erwerbsfähigkeit, für die Schulung, die Aus- und Weiterbildung oder zum Zweck der fu nktionellen Angewöhnung bedarf (Art. 8 Abs. 3 lit .</w:t>
      </w:r>
    </w:p>
    <w:p>
      <w:r>
        <w:t>d i n Verbindung mit Art. 21 Abs. 1 IVG), nach Art. 21 Abs. 2 IVG Versicherte, die infolge ihrer Invalidität für die Fortbe wegung, für die Herstellung des Kontakts mit der Umwelt oder für die Selbst sorge kostspieliger Geräte bedürfen, im Rahmen einer vom Bundesrat aufzu stellenden Liste ohne Rücksicht auf die Erwerbsfähigkeit Anspru ch auf solche Hilfsmittel haben, das Eidgenössische Departement des Innern in Ausführung dieser Grundsatz norm und gestützt auf e ine Subdelegation (Art.</w:t>
      </w:r>
    </w:p>
    <w:p>
      <w:r>
        <w:rPr>
          <w:b/>
        </w:rPr>
        <w:t>E. 14</w:t>
      </w:r>
    </w:p>
    <w:p>
      <w:r>
        <w:t>der Verordnung über die In validenversicherung [ IVV ] ) die Verordnung über die Abgabe von Hilfsmitteln durch die Invalidenversicherung (HVI) erlassen hat, die dort angefügte Liste die leihweise Abgabe von elektrischen und elektroni schen Kommunikationsgeräten für schwer sprech- und schreibbehinderte Versi cherte vorsieht, die zur Pflege des täglichen Kontakts mit der Umwelt auf ein solches Gerät angewiesen sind und über die notwendigen intellektuellen und motorischen Fähigkeiten zur Bedienung eines solchen Geräts verfügen (Ziff. 15.02 HVI-Anhang) , praxisgemäss unter Kommunikation nicht bloss die Verständigung mittels (ge schriebener oder gesprochener) Sprache zu verstehen ist, sondern auch die Ver ständigung durch Zeichen und andere Mittel (BGE 139 V 115 E. 3.3) ; in weiterer Erwägung, dass bei der am 29. Juni 2011 geborene n Beschwerdeführerin eine spastisch- dystone</w:t>
      </w:r>
    </w:p>
    <w:p>
      <w:r>
        <w:t>cerebrale Bewegungsstörung, ein psychomo torischer Entwicklungsrückstand und ein Status nach neonataler</w:t>
      </w:r>
    </w:p>
    <w:p>
      <w:r>
        <w:t>Asphysie bei Uterusruptur diagnostiziert wurde ( Bericht von Dr. med. Z.___ , Facharzt für Kinder- und Jugendmedizin , vom 28. März 2014 [ Urk. 7/95/5 ] ) und sie an einer schweren Dysarthrie (Sprechstö rung) mit ausgeprägter Diskrepanz zwischen Sprachverständnis und -produk tion leidet, wobei die Lautgebung in allen Bereichen (Stimme, Atmung, Mund motorik) betroffen ist (Bericht von A.___ , Logopädin, vom 20. Mai 2014 [Urk. 7/112 ]; vgl. auch Stellungnahme von Dr. med. B.___ , Facharzt für Kinder- und Jugendmedizin, Regionaler Ärztlicher Dienst [RAD] , vom 23. Juni 2014 [Urk. 7/130/2]), die Beschwerdeführerin</w:t>
      </w:r>
    </w:p>
    <w:p>
      <w:r>
        <w:t>im März 2014 (Urk. 7/89) um Abgabe eines Kommuni kationsgeräts</w:t>
      </w:r>
    </w:p>
    <w:p>
      <w:r>
        <w:t>(Lenovo Tablet ThinkPad 2 samt Case und „ Tobii “-Software Communicator und LiterAACY ) im B etrag von Fr. 9‘091.40 (vgl. Offerte der C.___ vom 6. März 2014 [ Urk. 7/88 ] ) durch die Invaliden - versi cherung ersuchte, die IV-Stelle dieses Gesuch</w:t>
      </w:r>
    </w:p>
    <w:p>
      <w:r>
        <w:t>mit Verfügung vom 18. September 2014 (Urk. 2) ablehnte, da bei der Beschwerdeführerin die Sprachentwicklung noch nicht ab geschlossen sei und sie den medizinischen Unterlagen zufolge ihre expressive Sprache noch verbessern werde, sich im Kurzbericht von Dr. Z.___</w:t>
      </w:r>
    </w:p>
    <w:p>
      <w:r>
        <w:t>vom 21. März 2014 (Urk. 7/94/4) in der Tat eine solche Verlautbarung findet, er indes gleichzeitig festhielt, die Beschwer deführerin werde wahrscheinlich zeitlebens eine gewisse ( allerdings nicht näher umschriebene) Einschränkung der verbalen Kommunikation beibehalten, die Beschwerdeführerin nach übereinstimmenden Angaben der sie therapeutisch behandelnden Fachpersonen (Bericht von A.___ , Logopädin, vom 20. Mai 2014 [Urk. 7/112], Bericht von D.___ , dipl. Ergotherapeutin FH, vom 9. Oktober 2014 [Urk. 3/2], undatierter Bericht von E.___ , dipl. Sonderpädagogin [Urk. 3/3]) über ein gutes Sprachverständnis und ein ausge prägtes Kommunikationsbedürfnis verfügt, jedoch abgesehen von einigen weni gen undeutlichen Lauten respektive Lautfolgen im Wesentlichen lediglich durch Kopfschütteln/-nicken kommuniziert und sie sich aufgrund ihrer Behinderung auch nur eingeschränkt mittels Gebärden mitteilen kann, die Möglichkeiten der Beschwerdeführerin, auf sich aufmerksam zu machen und aus eigenem Antrieb etwas kundzutun, behinderungsbedingt stark einge schränkt sind und sie deshalb zur Aufnahme und Pflege des täglichen Kontakts mit der Umwelt auf ein Kommunikationsgerät angewiesen ist , woran auch der von der IV-Stelle (Stellungnahme des Rech tsdienstes vom 1./3. September 2014 [Urk. 7/129 S. 2]) ins Feld geführte Umstand , dass sie im Mai 2014 – mithin im Alter von knapp drei Jahren – neuerdings einen Laut für „nein“ bilden</w:t>
      </w:r>
    </w:p>
    <w:p>
      <w:r>
        <w:t>konnte (vgl. Urk. 7/112 S. 1), nichts ändert , keine Anhaltspunkte dafür bestehen, dass das Kommunikationsg erät primär im Rahmen von therapeutischen Massnahmen zum Zweck des Spracherwerbs ein gesetzt werden soll, sondern dieses</w:t>
      </w:r>
    </w:p>
    <w:p>
      <w:r>
        <w:t>der Beschwerdeführerin in erster Linie – im Sinne eines Ausgleichs eines behinderungsbedingten Defizits ( BGE 131 V 9 E. 3.3, 139 V 115 E. 4.1) – eine über die Bejahung oder Verneinung von Fragen und das Ausdrücken gewisser (Grund-)Bedürfnisse hinausgehende Kommunika tion ermöglicht (vgl. auch Urteil des Bundesgerichts 9C_214/2008 vom 31. Juli 2008 E. 2.3 f.), es sich beim beantragte n</w:t>
      </w:r>
    </w:p>
    <w:p>
      <w:r>
        <w:t>Hilfsmittel</w:t>
      </w:r>
    </w:p>
    <w:p>
      <w:r>
        <w:t>unstreitig um ein Kommunikationsgerät im Sinne von Ziff. 15.02 HVI-Anhang handelt und die Beschwerdeführerin nach Lage der Akten über die intellektuellen und motorischen Fähigkeiten zu dessen Bedienung verfügt (Urk. 7/112 , Urk. 3/2-3 ), was von der Beschwerdegegnerin denn auch nicht angezweifelt wurde, die Beschwerdeführerin somit Anspruch auf das beantragte Hilfsmittel hat, wes halb die Beschwerde gutzuheissen und die angefochtene Verfügung</w:t>
      </w:r>
    </w:p>
    <w:p>
      <w:r>
        <w:t>vom 18. September 2014 (Urk. 2) mit die ser Feststellung aufzuheben ist, die Verfahrenskosten nach Art. 69 Abs. 1 bis IVG ermessensweise auf Fr. 500.-- festzu setzen und entsprechend dem Ausgang des Verfahrens der IV-Stelle aufzuerlegen sind; erkennt der Einzelrichter: 1.</w:t>
      </w:r>
    </w:p>
    <w:p>
      <w:r>
        <w:t>In Gutheissung der Beschwerde wird die Verfügung der Sozialversicherungsanst alt des Kantons Zürich, IV -Stelle,</w:t>
      </w:r>
    </w:p>
    <w:p>
      <w:r>
        <w:t>vom 1 8. September 2014 aufgehoben mit der Feststellung, dass die Versicherte Anspruch auf das beantragte Kommunikationsgerät (Tablet inkl. „ Tobii “ -Software) hat . 2.</w:t>
      </w:r>
    </w:p>
    <w:p>
      <w:r>
        <w:t>Die Gerichtskosten von Fr. 500 .-- werden der Beschwerdegegnerin auferlegt. Rech nung und Einzahlungsschein werden der Kostenpflichtigen nach Eintritt der Rechts 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