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IV.2014.01067 vom 6. Januar 2016</w:t>
      </w:r>
    </w:p>
    <w:p>
      <w:r>
        <w:t>ZH Sozialversicherungsgericht, 2016-01-06, DE</w:t>
      </w:r>
    </w:p>
    <w:p>
      <w:r>
        <w:rPr>
          <w:b/>
        </w:rPr>
        <w:t xml:space="preserve">Quelle: </w:t>
      </w:r>
      <w:r>
        <w:t>https://mcp.opencaselaw.ch/entscheid/zh_sozialversicherungsgericht_IV.2014.01067</w:t>
      </w:r>
    </w:p>
    <w:p>
      <w:r>
        <w:t>FR: ZH_SOZIALVERSICHERUNGSGERICHT IV.2014.01067 du 6 janvier 2016</w:t>
      </w:r>
    </w:p>
    <w:p>
      <w:r>
        <w:t>IT: ZH_SOZIALVERSICHERUNGSGERICHT IV.2014.01067 del 6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t>Zeitlicher Referenzpunkt für die Prüfung einer anspruchserhebli chen Änderung bildet die letzte (der versicherten Person eröffnete) rechtskräf 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134 V 131 E. 3 und 133 V 108 E. 5.4 mit Hinweis). Nach der bundesgerichtli chen Rechtsprechung ist eine Verfügung verzichtbar, wenn bei einer von Amtes wegen durchgeführten Revision keine leistungsbeeinflussende Änderung der Verhältnisse festgestellt wurde ( Art. 74 ter</w:t>
      </w:r>
    </w:p>
    <w:p>
      <w:r>
        <w:t>lit . f der Verordnung über die Invali denversicherung, IVV) und die bisherige Invalidenrente daher weiter ausgerich tet wird. Wird auf entsprechende Mitteilung hin keine Verfügung verlangt ( Art. 74 quater IVV), ist jene in Bezug auf den Vergleichszeitpunkt einer (ordentli chen) rechtskräftigen Verfügung gleichzustellen (Urteile des Bundesgerichts 9C_771/2009 vom 10. September 2010 E. 2.2 und 9C_586/2010 vom 15. Oktober 2010 E. 2.2 mit Hin weisen).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1.4</w:t>
      </w:r>
    </w:p>
    <w:p>
      <w:r>
        <w:t>Ändert sich der Invaliditätsgrad einer Rentenbezügerin oder eines Rentenbezü gers erheblich, so wird die Rente von Amtes wegen oder auf Gesuch hin für die Zukunft entsprechend erhöht, her 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 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w:t>
      </w:r>
    </w:p>
    <w:p>
      <w:r>
        <w:rPr>
          <w:b/>
        </w:rPr>
        <w:t>E. 1.6</w:t>
      </w:r>
    </w:p>
    <w:p>
      <w:r>
        <w:t>) vollumfänglich erfüllt , ein verbesserter Gesundheitszustand</w:t>
      </w:r>
    </w:p>
    <w:p>
      <w:r>
        <w:t>gemäss Art. 17 Abs. 1 ATSG und somit ein Revisionsgrund ausgewiesen, wobei festzu stellen ist, dass die Beschwerdeführerin</w:t>
      </w:r>
    </w:p>
    <w:p>
      <w:r>
        <w:t>in einer adaptierten Tätigkeit im Rah men des im Gutachten formulierten Belastungsprofils zu 100 % arbeitsfähig ist.</w:t>
      </w:r>
    </w:p>
    <w:p>
      <w:r>
        <w:t>Nach dem Gesagten erweist sich der Gesundheitszustand der Beschwerdeführe rin als hinreichend abgeklärt. Es ist nicht ersichtlich, inwiefern die von der Beschwerdeführerin geforderte Anordnung weiterer fachärztlicher Gutachten (vgl. Urk. 1 S. 2) neue, für die Beurteilung des vorliegenden Falls entscheidende Erkenntnisse liefern könnte, sodass darauf im Sinne der antizipierten Beweis würdigung (BGE 122 V 157 E. 1d) zu verzichten ist.</w:t>
      </w:r>
    </w:p>
    <w:p>
      <w:r>
        <w:t>Sofern sich der Gesund heitszustand der Beschwerdeführerin seit dem Erlass der Verfügung im Oktober 2012 dennoch verschlechtert haben sollte, steht es ihr jedoch frei, bei der Beschwerdegegnerin eine Neuanmeldung einzureichen. 9.8</w:t>
      </w:r>
    </w:p>
    <w:p>
      <w:r>
        <w:t>Der von der Beschwerdegegnerin mittels Prozentvergleich vorgenommene Ein kommensvergleich für das Jahr 2013 (vgl. Urk. 2 S. 2 , Urk. 8/84 ) ist nicht zu beanstanden und wird im Übrigen nicht bestritten. Beim resultierenden renten ausschliessenden Invaliditätsgrad von 0 % erfolgte die Einstellung d er Invali den rente somit korrekt, was zur Abweisung der Beschwerde führt.</w:t>
      </w:r>
    </w:p>
    <w:p>
      <w:r>
        <w:rPr>
          <w:b/>
        </w:rPr>
        <w:t>E. 05</w:t>
      </w:r>
    </w:p>
    <w:p>
      <w:r>
        <w:t>(vgl. Urk. 8/38) und im Juni 20</w:t>
      </w:r>
    </w:p>
    <w:p>
      <w:r>
        <w:rPr>
          <w:b/>
        </w:rPr>
        <w:t>E. 10</w:t>
      </w:r>
    </w:p>
    <w:p>
      <w:r>
        <w:t>(vgl. Urk. 8/54) durchge führte n Rentenrevision en ergab en jeweils einen unveränderten Invaliditätsgrad (Mitteilung en vom 4. Mai 2005, Urk. 8/44, und vom 5. April 2011, Urk. 8/61).</w:t>
      </w:r>
    </w:p>
    <w:p>
      <w:r>
        <w:rPr>
          <w:b/>
        </w:rPr>
        <w:t>E. 10.1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9 00.-- anzusetzen. Entsprechend dem Ausgang des Verfahrens sind sie der unterliegenden Beschwerdeführer in aufzu erlegen. Zufolge Gewährung der unentgeltlichen Prozessführung werden diese jedoch einstweilen auf die Gerichtskasse genommen, dies mit Hinweis auf §</w:t>
      </w:r>
    </w:p>
    <w:p>
      <w:r>
        <w:t>16 Abs. 4 des Gesetzes über das Sozialversicherungsgericht ( GSVGer ).</w:t>
      </w:r>
    </w:p>
    <w:p>
      <w:r>
        <w:rPr>
          <w:b/>
        </w:rPr>
        <w:t>E. 10.2</w:t>
      </w:r>
    </w:p>
    <w:p>
      <w:r>
        <w:t>Der am 14. November 2014 bestellte (Urk. 9 ) unentgeltliche Rechtsvertreter der Beschwerdeführerin, Rechtsanwalt Suat Sert, Zürich , ist aus der Gerichtskasse zu entschädigen. Nach Art. 61 lit . g ATSG in Verbindung mit § 34 Abs. 3 GSVGer bemisst sich die Höhe der gerichtlich festzusetzenden Entschädigung nach der Bedeutung der Streitsache, der Schwierigkeit des Prozesses und dem Mass des Obsiegens, jedoch ohne Rücksicht auf den Streitwert.</w:t>
      </w:r>
    </w:p>
    <w:p>
      <w:r>
        <w:t>Mit am 9. Dezember 2015 ei ngereichter Honorarnote (Urk. 25 /2 ) machte Rechts anwalt Suat Sert für die Zeit vom 17. September 2014 bis 23. Oktober 2015 einen Aufwand von 11.34 Stunden sowie Barauslagen von insgesamt Fr. 41.-- zuzüglich Mehrwertsteuer geltend. Dies erscheint nach Abzug des auf der Honorarnote aufgeführten fallfremden Aufwands (Telefonat vom 17. März 2015 mit der Klientin betreffend Kostengutsprache für Rollator im Umfang von 0.33 Stunden) angemessen, weshalb seine Entschädigung unter Berücksichtigung des gerichtsüblichen Stundenansatzes von Fr. 200.-- für Aufwendungen bis Ende 2014 und von Fr. 220.-- für Aufwendungen ab Januar 2015 auf Fr. 2‘465.90 festzusetzen ist.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Suat Sert, Zürich, wird mit Fr. 2‘465.90 (inkl. Barauslagen und MWSt ) aus der Gerichtskasse entschädigt. Die Beschwerdeführerin wird auf die Nachzahlungspflicht gemäss § 16 Abs. 4 GSVGer hingewiesen. 4.</w:t>
      </w:r>
    </w:p>
    <w:p>
      <w:r>
        <w:t>Zustellung gegen Empfangsschein an: - Rechtsanwalt Suat Sert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