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IV.2014.01046 vom 25. März 2015</w:t>
      </w:r>
    </w:p>
    <w:p>
      <w:r>
        <w:t>ZH Sozialversicherungsgericht, 2015-03-25, DE</w:t>
      </w:r>
    </w:p>
    <w:p>
      <w:r>
        <w:rPr>
          <w:b/>
        </w:rPr>
        <w:t xml:space="preserve">Quelle: </w:t>
      </w:r>
      <w:r>
        <w:t>https://mcp.opencaselaw.ch/entscheid/zh_sozialversicherungsgericht_IV.2014.01046</w:t>
      </w:r>
    </w:p>
    <w:p>
      <w:r>
        <w:t>FR: ZH_SOZIALVERSICHERUNGSGERICHT IV.2014.01046 du 25 mars 2015</w:t>
      </w:r>
    </w:p>
    <w:p>
      <w:r>
        <w:t>IT: ZH_SOZIALVERSICHERUNGSGERICHT IV.2014.01046 del 25 marzo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Sozialversicherungsanstalt des Kantons Zürich, IV-Stelle, sprach X.___ , geboren 1975, mit Wirkung ab November 2002 zunächst eine Viertelsrente der Invalidenversicherung zu ( v gl. Einspracheentscheid vom 10. August 2005 und Verfügung vom 4. November 2005; Urk. 6/104, Urk. 6/107 ). Im Rahmen eines ersten Revisionsverfahrens erhöhte die IV-Stelle m it Verfügung vom 24. November 2010 ab 1. August 2009 die Viertels- auf eine ganze Rente (Urk. 6/197 ). 2013 leitete die IV-Stelle wiederum ein Revisionsverfa hren ein (vgl. Urk. 6/210 ff.). A m 1 2. Juni 2014 teilte sie dem V ersicherten mit, sie werde eine bidisziplinäre Begutachtung anordnen (Urk. 6/242). Daran hielt sie mit Verfügung vom 5. September 2014 fest (Urk. 2 = Urk. 6/257).</w:t>
      </w:r>
    </w:p>
    <w:p>
      <w:r>
        <w:rPr>
          <w:b/>
        </w:rPr>
        <w:t>E. 2</w:t>
      </w:r>
    </w:p>
    <w:p>
      <w:r>
        <w:t>Gegen diese Verfügung erhob der Versicherte am 8. Oktober 2014 Beschwerde mit dem Rechtsbegehren, es sei eine interdisziplinäre Begutachtung durchzu führen , eventualiter sei die Beschwerdegegnerin zu einer einvernehmlichen Bestimmung der Experten für eine bidisziplinäre zu verpflichten (Urk. 1 S. 2). In der Beschwerdeantwort vom 1 3. November 2014 beantragte die Beschwerde gegnerin , auf die Beschwerde sei nicht einzutreten (Urk. 5).</w:t>
      </w:r>
    </w:p>
    <w:p>
      <w:r>
        <w:t>Auf die Ausführungen der Parteien und die Akten wird, soweit erforderlich, in den nachfolgenden Erwägungen eingegangen. Das Gericht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