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IV.2014.00883 vom 12. Dezember 2014</w:t>
      </w:r>
    </w:p>
    <w:p>
      <w:r>
        <w:t>ZH Sozialversicherungsgericht, 2014-12-12, DE</w:t>
      </w:r>
    </w:p>
    <w:p>
      <w:r>
        <w:rPr>
          <w:b/>
        </w:rPr>
        <w:t xml:space="preserve">Quelle: </w:t>
      </w:r>
      <w:r>
        <w:t>https://mcp.opencaselaw.ch/entscheid/zh_sozialversicherungsgericht_IV.2014.00883</w:t>
      </w:r>
    </w:p>
    <w:p>
      <w:r>
        <w:t>FR: ZH_SOZIALVERSICHERUNGSGERICHT IV.2014.00883 du 12 décembre 2014</w:t>
      </w:r>
    </w:p>
    <w:p>
      <w:r>
        <w:t>IT: ZH_SOZIALVERSICHERUNGSGERICHT IV.2014.00883 del 12 dicembre 2014</w:t>
      </w:r>
    </w:p>
    <w:p>
      <w:pPr>
        <w:pStyle w:val="Heading2"/>
      </w:pPr>
      <w:r>
        <w:t>Erwägungen</w:t>
      </w:r>
    </w:p>
    <w:p>
      <w:r>
        <w:rPr>
          <w:b/>
        </w:rPr>
        <w:t>E. 1.1</w:t>
      </w:r>
    </w:p>
    <w:p>
      <w:r>
        <w:t>Gemäss Art. 39a der Verordnung über die Invalidenversicherung (IVV) in Ver bindung mit Art. 42 quater Abs. 3 des Bundesgesetzes über die Invalidenver siche rung (IVG) haben minderjährige Versicherte, denen eine Hilflosenentschädigung der Invalidenversicherung ausgerichtet wird und die zu Hause leben, Anspruch auf einen Assistenzbeitrag, sofern sie regelmässig die obligatorische Schule in der Regelklasse besuchen, eine Berufsausbildung auf dem regulären Arbeits mark t oder eine andere Ausbildung auf Sekundarstufe II absolvieren ( lit . a), während mindestens 10 Stunden pro Woche eine Erwerbstätigkeit auf dem regulären Arbeitsmarkt ausüben ( lit . b), oder ihnen ein Intensivpflegezuschlag für einen Pflege- und Überwachungsbedarf nach Art. 42 ter Abs. 3 IVG von mindestens 6 Stunden pro Tag ausgerichtet wird ( lit . c).</w:t>
      </w:r>
    </w:p>
    <w:p>
      <w:r>
        <w:rPr>
          <w:b/>
        </w:rPr>
        <w:t>E. 1.2</w:t>
      </w:r>
    </w:p>
    <w:p>
      <w:r>
        <w:t>Ein Assistenzbeitrag wird für Hilfeleistungen gewährt, die von der versicherten Person benötigt werden und nicht schon von anderen Leistungen gedeckt sind. Die Hilfeleistungen müssen regelmässig und für eine bestimmte Dauer von einer natürlichen Person (Assistenzperson) erbrach t werden, die nicht zu den Fami li en angehörigen gehören darf und die von der versicherten P erson oder ihrer ge setz li chen Vertretung im Rahmen eines Arbeitsvertrages angestellt ist (Art. 42 quinquies , 42 sexies IVG).</w:t>
      </w:r>
    </w:p>
    <w:p>
      <w:r>
        <w:rPr>
          <w:b/>
        </w:rPr>
        <w:t>E. 1.3</w:t>
      </w:r>
    </w:p>
    <w:p>
      <w:r>
        <w:t>Hilfebedarf kann in den Bereichen alltägliche Lebensverrichtungen, Haushalts führung, gesellschaftliche Teilhabe und Freizeitg estaltung, Erziehung und Kinder betreuung , Ausübung einer gemeinnützigen oder ehrenamtlichen Tätigkeit, beruf liche Aus- und Weiterbildung, Ausübung eine r Erwerbstätigkeit auf dem regu lären Arbeitsmarkt, Überwachung während des Tages und Nachtdienst aner kannt werden (Art. 39c IVV).</w:t>
      </w:r>
    </w:p>
    <w:p>
      <w:r>
        <w:rPr>
          <w:b/>
        </w:rPr>
        <w:t>E. 1.4</w:t>
      </w:r>
    </w:p>
    <w:p>
      <w:r>
        <w:t>Nach Art. 39e Abs. 1 IVV bestimmt die IV-Stelle den anerkannten monatlichen Hilfebedarf in Stunden. Abs. 2 von Art. 39e IV V regelt die maximale Anzahl von Stunden (pro Monat), für die ein Assistenzbeitrag ausgerichtet werden darf (sog. monatliche Höchstansätze) . Gemäss Ab s . 4 von Art. 39e IVV werden diese Höchst ansätze für jeden Tag und jede Nacht, welche die versicherte Person in einer Institution verbringt, um 10 % gekürzt.</w:t>
      </w:r>
    </w:p>
    <w:p>
      <w:r>
        <w:rPr>
          <w:b/>
        </w:rPr>
        <w:t>E. 1.5</w:t>
      </w:r>
    </w:p>
    <w:p>
      <w:r>
        <w:t>Der Hilfebedarf wird mit Hilfe eines standardisierten Abklärungsinstrumentes (FAKT) ermittelt (vgl. Rz 4005 des Kreisschreibens üb er den Assistenzbeitrag; KSAB). 2.</w:t>
      </w:r>
    </w:p>
    <w:p>
      <w:r>
        <w:rPr>
          <w:b/>
        </w:rPr>
        <w:t>E. 2</w:t>
      </w:r>
    </w:p>
    <w:p>
      <w:r>
        <w:t>Gegen die Verfügung vom 8. Juli 2014 (Assistenzbeitrag) erhob der Versicherte am 9. September 2014 Beschwerde (Urk. 1) und beantragte, die angefochtene Ver fügung sei aufzuheben und der Assistenzbeitrag sei zu erhöhen. In pro zessu a ler Hinsicht ersuchte der Beschwerdeführer um Gewährung der unentgeltlichen Prozessführung sowie um Bestellung von Fürsprecher Daniel Schilli ger zum un entgeltlichen Rechtsbeistand (Urk. 1 S. 2). Mit Beschwerdeantwort vom 10. Okto ber 2014 (Urk. 7 unter Beilage ihrer Akten, Urk. 8/1-333) schloss die Beschwer de gegnerin auf Abweisung der Beschwerde, was dem Beschwerdeführer mit Schrei ben vom 29. Oktober 2014 (Urk. 12) zur Kenntnis gebracht wurde.</w:t>
      </w:r>
    </w:p>
    <w:p>
      <w:r>
        <w:rPr>
          <w:b/>
        </w:rPr>
        <w:t>E. 2.1</w:t>
      </w:r>
    </w:p>
    <w:p>
      <w:r>
        <w:t>Die Beschwerdegegnerin ermittelte den benötigten Zeitbedarf mit Hilfe des FAKT (Urk. 8/260, Urk. 8/300). Da der Beschwerdeführer an 5 Tagen pro Woche den Kindergarten besucht (Urk. 8/260/8) , kürzte die Beschwerdegegnerin die monat lichen Höchstansätze . Nachdem sie</w:t>
      </w:r>
    </w:p>
    <w:p>
      <w:r>
        <w:t>zuerst eine Kürzung von 5 0 % vorge nommen hatte (Urk. 8/260 /49 ), reduzierte sie den Abzug im Rahmen des Vorbescheid ver fahrens</w:t>
      </w:r>
    </w:p>
    <w:p>
      <w:r>
        <w:t>auf 3 7,5 %</w:t>
      </w:r>
    </w:p>
    <w:p>
      <w:r>
        <w:t>(Urk. 8/300/49), da sie neu Schulferien von 13 Wochen pro Jahr berücksichtigte und dementsprechend durchschnittlich nur noch 3,75 Schul t age pro Woche resultierten (5 Tage x 39 Sch ulwochen = 195 Tage Schulbesuch pro Jahr ;</w:t>
      </w:r>
    </w:p>
    <w:p>
      <w:r>
        <w:t>b ei 195 Tage n Schulbesuch pro Jahr ergibt dies durchschnittlich 3,75 Tage Schulbesuch pro Woche [ 195 Tage ÷ 52 Wochen ] ; siehe auch Urk. 2 S. 2 ).</w:t>
      </w:r>
    </w:p>
    <w:p>
      <w:r>
        <w:rPr>
          <w:b/>
        </w:rPr>
        <w:t>E. 2.2</w:t>
      </w:r>
    </w:p>
    <w:p>
      <w:r>
        <w:t>In der Beschwerde wurde gegen die so ermittelten Höchstansätze eingewandt, der Beschwer deführer verbringe mit Ausnahme vom Montag nur halbe Tage im Kindergarten. Die Beschwerdegegnerin habe zu Unrecht für die halben Tage den selben Abzug von den Höchstansätzen vorgenommen wie für die ganzen Tage</w:t>
      </w:r>
    </w:p>
    <w:p>
      <w:r>
        <w:t>(Urk. 1 S. 10) .</w:t>
      </w:r>
    </w:p>
    <w:p>
      <w:r>
        <w:rPr>
          <w:b/>
        </w:rPr>
        <w:t>E. 3</w:t>
      </w:r>
    </w:p>
    <w:p>
      <w:r>
        <w:t>Den Ausführungen des Beschwerdeführers kann nicht gefolgt werden. Gemäss Art. 42 sexies Abs. 2 IVG ist der Aufenthalt in einer Institution beim Zeitbedarf für den Assistenzbeitrag in Abzug zu bringen . N ach Art. 42 sexies Abs. 4 IVG liegt es in der Kompetenz des Bundesrates, zeitliche Höchstgrenzen für die Abgeltung der Assistenz festzulegen. In diese Bestimmung schloss der Gesetzgeber auch die Regelungskompetenz in Bezug auf den hier fraglichen Abzug ein ( BBl 2010 1905 ; siehe auch Urteil des Bundesgerichts 9C_648/2013 vom 17. Oktober 2014 E. 3.5.4). Der Bundesrat regelte dementsprechend in Abs. 4 von Art. 39e IVV, dass die Höchstansätze für jeden Tag und jede Nacht, welche die versicherte Person pro Woche in einer Institution verbringt, um 10 % zu kürzen sind . Der Bundes rat differenziert e nicht weiter und nahm mithin eine gewisse Pauschalisierung in Kauf. Im Kreisschreiben über den Assistenzbeitrag wird denn auch festge hal ten, dass halbe Tage wie ganze Tage abzurechnen sind ( Rz 4099). Hielt das Bun desgericht fest, dass Praktikabilität und Rechtssicherheit für pauschale Kürzungen</w:t>
      </w:r>
    </w:p>
    <w:p>
      <w:r>
        <w:t>sprechen (Urteil des Bundesgerichts 9C_648/2013 vom 17. Oktober 2014 E. 3.5.4 ),</w:t>
      </w:r>
    </w:p>
    <w:p>
      <w:r>
        <w:t>so ist diese Regelung nicht zu beanstanden. D ie Beschwerdegegnerin hat dem nach zu Recht einen Abzug von 10 % pro Tag respektive von 37,5 % pro Woche</w:t>
      </w:r>
    </w:p>
    <w:p>
      <w:r>
        <w:t>(E. 2.1) vorgenommen. Gibt der angefochtene Entscheid auch sonst keinen An lass zu Beanstandungen, ist die Beschwerde abzuweisen.</w:t>
      </w:r>
    </w:p>
    <w:p>
      <w:r>
        <w:rPr>
          <w:b/>
        </w:rPr>
        <w:t>E. 4</w:t>
      </w:r>
    </w:p>
    <w:p>
      <w:r>
        <w:t>.</w:t>
      </w:r>
    </w:p>
    <w:p>
      <w:r>
        <w:t>Die Kosten des Verfahrens sind auf Fr. 600.-- festzulegen und ausgangsgemäss vom Beschwerdeführer zu tragen (Art. 69 Abs. 1 bis IVG).</w:t>
      </w:r>
    </w:p>
    <w:p>
      <w:r>
        <w:rPr>
          <w:b/>
        </w:rPr>
        <w:t>E. 5</w:t>
      </w:r>
    </w:p>
    <w:p>
      <w:r>
        <w:t>.3</w:t>
      </w:r>
    </w:p>
    <w:p>
      <w:r>
        <w:t>Der für die prozessuale Bedürftigkeit m assgebende monatliche Bedarf des Be schwer deführer s und seiner Eltern setzt sich wie folgt zusammen: Grundbe trag Eltern Fr. 1‘700.-- und</w:t>
      </w:r>
    </w:p>
    <w:p>
      <w:r>
        <w:t>Grundbetrag Beschwerdeführer Fr. 400.-- (inkl. Kosten für Elektrizität, vgl. Kreisschreiben der Verwaltungskommission des Obergerichtes de s Kantons Zürich an die Bezirks gerichte und die Betreibungsämter betreffend Richtlinien für die Berechnung des betreibungsrechtlichen Existenzminimums vom 16. September 2009, Ziff. II./3 und 4 ), Miete inklusive Akontozahlung für Nebenkosten Fr. 1‘156 .--</w:t>
      </w:r>
    </w:p>
    <w:p>
      <w:r>
        <w:t>(Urk. 1 1 /2), übrige Heiz- und Nebenkosten Fr. 17 .-- (Urk. 11 / 3/1 S. 2 ) , Billag</w:t>
      </w:r>
    </w:p>
    <w:p>
      <w:r>
        <w:t>Fr. 14. —(Urk. 11/3/2) , Tele fon</w:t>
      </w:r>
    </w:p>
    <w:p>
      <w:r>
        <w:t>Fr. 104.-- (Mutter Fr. 50.-- [Urk. 11/3/4] , Vater Fr. 54. --</w:t>
      </w:r>
    </w:p>
    <w:p>
      <w:r>
        <w:t>[ Urk. 11/4/1: Durchschnitt ] ) , Cablecom (Internet und Telefon) Fr. 76.40 (Urk. 11/3/5), Prämie für Krankenkasse (KVG) Eltern und Beschwerdeführer Fr. 746. 50 (Urk. 11/5 ) ,</w:t>
      </w:r>
    </w:p>
    <w:p>
      <w:r>
        <w:t>Prämie für Hausrat/Haftpflicht 35.-- (Urk. 11/6), Kosten für den Arbeitsweg der Mutter Fr.</w:t>
      </w:r>
    </w:p>
    <w:p>
      <w:r>
        <w:rPr>
          <w:b/>
        </w:rPr>
        <w:t>E. 6</w:t>
      </w:r>
    </w:p>
    <w:p>
      <w:r>
        <w:t>00 .-- werden dem Beschwerdeführer auferlegt. Rechnung und Einzahlungsschein werden dem Kostenpflichtigen nach Eintritt der Rechtskraft zu gestellt. 3.</w:t>
      </w:r>
    </w:p>
    <w:p>
      <w:r>
        <w:t>Zustellung gegen Empfangsschein an: - Procap Schweiz - Sozialversicherungsanstalt des Kantons Zürich, IV-Stelle - Bundesamt für Sozialversicherungen sowie an: - Gerichtskasse (im Dispositiv nach Eintritt der Rechtskraft) 4.</w:t>
      </w:r>
    </w:p>
    <w:p>
      <w:r>
        <w:t>Gegen diesen Entscheid kann innert 30 Tagen seit der Zustellung beim Bundesgericht Beschwerde eingereicht werden (Art. 82 ff. in Verbindung mit Art. 90 ff. des Bundesgesetzes über das Bundesgericht, BGG). Die Frist steht während folgender Zeiten still: vom siebten Tag vor Ostern bis und mit dem siebten Tag nach Ostern, vom 15. Juli bis und mit 15. August sowie vom 18. Dezember bis und mit dem 2. Januar (Art. 46 BGG).</w:t>
      </w:r>
    </w:p>
    <w:p>
      <w:r>
        <w:t>Die Beschwerdeschrift ist dem Bundesgericht, Schweizerhofquai 6, 6004 Luzern, zuzustellen.</w:t>
      </w:r>
    </w:p>
    <w:p>
      <w:r>
        <w:t>Die Beschwerdeschrift hat die Begehren, deren Begründung mit Angabe der Beweismittel und die Unterschrift des Beschwerdeführers oder seines Vertreters zu enthalten; der angefochtene Entscheid sowie die als Beweismittel angerufenen Urkunden sind beizulegen, soweit die Partei sie in Händen hat (Art. 42 BGG). Sozialversicherungsgericht des Kantons Zürich Der VorsitzendeDie Gerichtsschreiberin HurstF. Brühwiler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