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IV.2014.00676 vom 19. Juni 2015</w:t>
      </w:r>
    </w:p>
    <w:p>
      <w:r>
        <w:t>ZH Sozialversicherungsgericht, 2015-06-19, DE</w:t>
      </w:r>
    </w:p>
    <w:p>
      <w:r>
        <w:rPr>
          <w:b/>
        </w:rPr>
        <w:t xml:space="preserve">Quelle: </w:t>
      </w:r>
      <w:r>
        <w:t>https://mcp.opencaselaw.ch/entscheid/zh_sozialversicherungsgericht_IV.2014.00676</w:t>
      </w:r>
    </w:p>
    <w:p>
      <w:r>
        <w:t>FR: ZH_SOZIALVERSICHERUNGSGERICHT IV.2014.00676 du 19 juin 2015</w:t>
      </w:r>
    </w:p>
    <w:p>
      <w:r>
        <w:t>IT: ZH_SOZIALVERSICHERUNGSGERICHT IV.2014.00676 del 19 giugno 2015</w:t>
      </w:r>
    </w:p>
    <w:p>
      <w:pPr>
        <w:pStyle w:val="Heading2"/>
      </w:pPr>
      <w:r>
        <w:t>Erwägungen</w:t>
      </w:r>
    </w:p>
    <w:p>
      <w:r>
        <w:rPr>
          <w:b/>
        </w:rPr>
        <w:t>E. 1</w:t>
      </w:r>
    </w:p>
    <w:p>
      <w:r>
        <w:t>X.___ , geboren 1957, war Ehefrau und Mutter zweier 1987 und 1992 geborener Kinder, als sie am 23. Februar 1999 während ihrer Tätigkeit als Raumpflegerin für die Y.___ AG auf die rechte Hand, den rechten Arm und die rechte Schulter stürzte. Ab dem 26. April 1999 wurde ihr eine 100%ige Arbeitsunfähigkeit attestiert, worauf ihr der Unfallver sicherer des Betriebes, die Schweizerische Unfallversicherungsanstalt (Suva), Taggelder ausrichtete (Urk.</w:t>
      </w:r>
    </w:p>
    <w:p>
      <w:r>
        <w:rPr>
          <w:b/>
        </w:rPr>
        <w:t>E. 1.1</w:t>
      </w:r>
    </w:p>
    <w:p>
      <w:r>
        <w:t>Gemäss Art. 42 Abs. 1 des Bundesgesetzes über die Invalidenversicherung ( IVG ) haben Versicherte mit Wohnsitz und gewöhnlichem Aufenthalt (Art. 13 des Bundesgesetzes über den Allgemeinen Teil des Sozialversicherungsrechts; ATSG) in der Schweiz, die hilflos (Art. 9 ATSG) sind, Anspruch auf eine Hilflo senentschädigung . Vorbehalten bleibt Artikel 42 bis IVG. Als hilflos gilt eine Person, die wegen einer Beeinträchtigung der Gesundheit für alltägliche Lebensverrichtungen dauernd der Hilfe Dritter oder der persönlichen Überwa 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 .</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 gen Pflege bedarf; d. wegen einer schweren Sinnesschädigung oder eines schweren körperlichen Gebrechens nur dank regelmässiger und erheblicher Dienstleistungen Dritter gesellschaftliche Kontakte pflegen kann; oder e. dauernd auf lebenspraktische Begleitung im Sinne von Artikel 38 angewie sen ist.</w:t>
      </w:r>
    </w:p>
    <w:p>
      <w:r>
        <w:rPr>
          <w:b/>
        </w:rPr>
        <w:t>E. 1.3</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t>Als regelmässig im Sinne von Art. 38 Abs. 3 Satz 1 IVV gilt die lebensprakti 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rPr>
          <w:b/>
        </w:rPr>
        <w:t>E. 1.4</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Leiden eingeschränkt ist. Der Versicherungsträger kann an Ort und Stelle weitere Abklärungen vornehmen. Bei Unklarheiten über physische oder psychi sche Störungen und/oder deren Auswirkungen auf alltägliche Lebensverrich tungen sind Rückfragen an die medizinischen Fachpersonen nicht nur zulässig, sondern notwendig (BGE 130 V 61 E. 6.1.1).</w:t>
      </w:r>
    </w:p>
    <w:p>
      <w:r>
        <w:t>Ein Abklärungsbericht unter dem Aspekt der Hilflosigkeit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(Art. 37 IVV) und der lebens praktischen Begleitung (Art. 38 IVV) gemäss sein. Schliesslich hat er in Über einstimmung mit den an Ort und Stelle erhobenen Angaben zu stehen. Das Gericht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 dige Gericht ( BGE 140 V 543 E. 3.2, 133 V 450 E.</w:t>
      </w:r>
    </w:p>
    <w:p>
      <w:r>
        <w:rPr>
          <w:b/>
        </w:rPr>
        <w:t>E. 1.5</w:t>
      </w:r>
    </w:p>
    <w:p>
      <w:r>
        <w:t>Ändert sich der Grad der Hilflosigkeit in erheblicher Weise, so finden die Art. 87-88 bis IVV Anwendung. Fällt eine der übrigen Anspruchsvoraussetzungen dahin oder stirbt die anspruchsberechtigte Person, so erlischt der Anspruch am Ende des betreffenden Monats (Art. 17 Abs. 2 ATSG in Verbindung mit Art. 35 Abs. 2 IVV). 2.</w:t>
      </w:r>
    </w:p>
    <w:p>
      <w:r>
        <w:t>Strittig und zu prüfen ist im vorliegenden Beschwerdeverfahren, ob sich der Grad der Hilflosigkeit der Beschwerdeführerin</w:t>
      </w:r>
    </w:p>
    <w:p>
      <w:r>
        <w:t>ab der schriftlichen Mitteilung vom 2</w:t>
      </w:r>
    </w:p>
    <w:p>
      <w:r>
        <w:rPr>
          <w:b/>
        </w:rPr>
        <w:t>E. 6</w:t>
      </w:r>
    </w:p>
    <w:p>
      <w:r>
        <w:t>/49) , welche mit Verfügung vom</w:t>
      </w:r>
    </w:p>
    <w:p>
      <w:r>
        <w:rPr>
          <w:b/>
        </w:rPr>
        <w:t>E. 11</w:t>
      </w:r>
    </w:p>
    <w:p>
      <w:r>
        <w:t>Juni 2014 auf gehoben wurde ( Urk. 6/ 124 ). Diese Verfügung wurde von der Versicherten angefochten und ist im Rahmen des am hiesigen Gericht anhängigen Beschwer deverfahrens IV.2014.00 758 zu beurteilen, in welchem heute ebenfalls ein Ent scheid ergeht. Mit einer weiteren Verfügung vom 18. Oktober 2002 hatte die IV-Stelle der Versicherten ab Mai 2000 eine Entschädigung für Hilflosigkeit leich ten Grades zu gesprochen ( Urk. 6/50) , da die Versicherte in zwei alltäglichen Lebensverrichtungen (Ankleiden/Auskleiden und Essen) regelmässig in erhebli cher Weise auf die Hilfe D ritter angewiesen sei ( Urk. 6/42/2) .</w:t>
      </w:r>
    </w:p>
    <w:p>
      <w:r>
        <w:rPr>
          <w:b/>
        </w:rPr>
        <w:t>E. 11.1</w:t>
      </w:r>
    </w:p>
    <w:p>
      <w:r>
        <w:t>.1, 130 V 61 E. 6.2, 128 V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