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IV.2014.00593 vom 19. September 2014</w:t>
      </w:r>
    </w:p>
    <w:p>
      <w:r>
        <w:t>ZH Sozialversicherungsgericht, 2014-09-19, DE</w:t>
      </w:r>
    </w:p>
    <w:p>
      <w:r>
        <w:rPr>
          <w:b/>
        </w:rPr>
        <w:t xml:space="preserve">Quelle: </w:t>
      </w:r>
      <w:r>
        <w:t>https://mcp.opencaselaw.ch/entscheid/zh_sozialversicherungsgericht_IV.2014.00593</w:t>
      </w:r>
    </w:p>
    <w:p>
      <w:r>
        <w:t>FR: ZH_SOZIALVERSICHERUNGSGERICHT IV.2014.00593 du 19 septembre 2014</w:t>
      </w:r>
    </w:p>
    <w:p>
      <w:r>
        <w:t>IT: ZH_SOZIALVERSICHERUNGSGERICHT IV.2014.00593 del 19 settembre 2014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1968, meldete sich am</w:t>
      </w:r>
    </w:p>
    <w:p>
      <w:r>
        <w:rPr>
          <w:b/>
        </w:rPr>
        <w:t>E. 2</w:t>
      </w:r>
    </w:p>
    <w:p>
      <w:r>
        <w:t>1. Juli 2000 unter Hinweis auf eine generalisierte Tendomyopathie und eine Fibromyalgie</w:t>
      </w:r>
    </w:p>
    <w:p>
      <w:r>
        <w:t>bei der Invalidenversicherung zum Bezug einer Invaliden rente ( Urk. 7/1 Ziff. 7.2 und 7.8) an . Mit Verfügungen vom 1 0. Oktober 200</w:t>
      </w:r>
    </w:p>
    <w:p>
      <w:r>
        <w:rPr>
          <w:b/>
        </w:rPr>
        <w:t>E. 3</w:t>
      </w:r>
    </w:p>
    <w:p>
      <w:r>
        <w:t>sprach ihr die Sozial versi che rungsanstalt des Kantons Zürich, IV-Stelle, vo 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