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IV.2014.00580 vom 19. Dezember 2014</w:t>
      </w:r>
    </w:p>
    <w:p>
      <w:r>
        <w:t>ZH Sozialversicherungsgericht, 2014-12-19, DE</w:t>
      </w:r>
    </w:p>
    <w:p>
      <w:r>
        <w:rPr>
          <w:b/>
        </w:rPr>
        <w:t xml:space="preserve">Quelle: </w:t>
      </w:r>
      <w:r>
        <w:t>https://mcp.opencaselaw.ch/entscheid/zh_sozialversicherungsgericht_IV.2014.00580</w:t>
      </w:r>
    </w:p>
    <w:p>
      <w:r>
        <w:t>FR: ZH_SOZIALVERSICHERUNGSGERICHT IV.2014.00580 du 19 décembre 2014</w:t>
      </w:r>
    </w:p>
    <w:p>
      <w:r>
        <w:t>IT: ZH_SOZIALVERSICHERUNGSGERICHT IV.2014.00580 del 19 dicembre 2014</w:t>
      </w:r>
    </w:p>
    <w:p>
      <w:pPr>
        <w:pStyle w:val="Heading2"/>
      </w:pPr>
      <w:r>
        <w:t>Erwägungen</w:t>
      </w:r>
    </w:p>
    <w:p>
      <w:r>
        <w:rPr>
          <w:b/>
        </w:rPr>
        <w:t>E. 1.1</w:t>
      </w:r>
    </w:p>
    <w:p>
      <w:r>
        <w:t>Die Beschwerdegegnerin</w:t>
      </w:r>
    </w:p>
    <w:p>
      <w:r>
        <w:t>verneinte einen Anspruch auf Kostenübernahme mit der Begründung, aufgrund der Unterlagen sei davon auszugehen, dass die Führ hund e instruktoren des Vereins Z.___ die Voraussetzungen an die berufliche Aus bildung, wie sie im Tarifvertrag betreffend die mietweise Abgabe von Blin den führhunden an IV-Versicherte festgelegt worden seien, nicht erfüllen würden. Obwohl der Verein Z.___ diesem Tarifvertrag nicht beigetreten sei, müssten die beruflichen Mindestanforderungen erfüllt sein, soweit eine Kostenübernahme durch die Invalidenversicherung beantragt werde. Eine nochmalige Überprüfung habe ergeben, dass der Nachweis einer gleichwertigen Ausbildung nicht er bracht sei.</w:t>
      </w:r>
    </w:p>
    <w:p>
      <w:r>
        <w:t>Ausserdem erfolge die Abgabe eines Blindenführhundes gemäss dem Tarifvertrag nur mietweise. Der Beschwerdeführerin, die bis im Jahr 2006 einen Hund von einer anerkannten Führhundeschule gehabt habe, sei es zumutbar, einen Führhund bei einer der vier anerkannten Schulen zu beziehen (Urk. 2). 1 .2</w:t>
      </w:r>
    </w:p>
    <w:p>
      <w:r>
        <w:t>Die Beschwerdeführerin machte demgegenüber im Wesentlichen geltend, die Beschwe rdegegnerin habe es unterlassen , abzuklären, ob der Verein Z.___ als gleich wertige Ausbildungsstätte für Blindenführhunde angesehen werden könne . Dadurch, dass sie den Hund beim Verein Z.___ habe ausbilden lassen, sei sie ihrer Schadenminderungspflicht nachgekommen, da die Kosten weit unter jenen gemäss dem Tarifvertrag lägen (Urk. 1). 2.</w:t>
      </w:r>
    </w:p>
    <w:p>
      <w:r>
        <w:rPr>
          <w:b/>
        </w:rPr>
        <w:t>E. 1.2</w:t>
      </w:r>
    </w:p>
    <w:p>
      <w:r>
        <w:t>Am 17. April 2005 kaufte sich X.___ einen neuen Hund, den sie in der Folge durch den Verein „ Z.___ “ (Verein Z.___ )</w:t>
      </w:r>
    </w:p>
    <w:p>
      <w:r>
        <w:t>zum Blindenführhund ausbilden liess (Urk. 8/449/2). Mit Eingabe vom 22. Mai 2007 (Urk. 8/449) ersuchte sie</w:t>
      </w:r>
    </w:p>
    <w:p>
      <w:r>
        <w:t>um Übernahme der entstandenen Kosten (Ausbil dung bis April 2007 , medizinische Abklärungen, spezielle Ausrüstung) sowie um Kostengutsprache für jährliche Tierarztkosten ab Ende der Ausbildung (Urk. 8/449 /3 ).</w:t>
      </w:r>
    </w:p>
    <w:p>
      <w:r>
        <w:t>Nachdem die Versicherte nach Aufforderung durch die IV-Stelle</w:t>
      </w:r>
    </w:p>
    <w:p>
      <w:r>
        <w:t>(Urk. 8/450, Urk. 8/463, Urk. 8/477, Urk. 8/482) durch den Verein</w:t>
      </w:r>
    </w:p>
    <w:p>
      <w:r>
        <w:t>Z.___</w:t>
      </w:r>
    </w:p>
    <w:p>
      <w:r>
        <w:t>ver schiedene Unterlagen über die Schule hatte einreichen lassen (Urk. 8/487) sowie nach eingeholter</w:t>
      </w:r>
    </w:p>
    <w:p>
      <w:r>
        <w:t>Stellungnahme beim Bundesamt für Sozialversicherungen ( Urk. 8/488-489) ,</w:t>
      </w:r>
    </w:p>
    <w:p>
      <w:r>
        <w:t>stellte</w:t>
      </w:r>
    </w:p>
    <w:p>
      <w:r>
        <w:t>die IV-Stelle der Versicherten mit Vorbescheid vom 15. Dezember 2008 (Urk. 8/491) die Abweisung des Leistungsbegehrens in Aus sicht . Dagegen erhob die Versicherte Einwand und ersuchte zusätzlich um Kos tengutsprache für monatliche Futter- und Haltungskosten (Urk. 8/493 ). Nach erneuter Stellungnahme durch das Bundesamt für Sozialversicherungen (Urk. 8/496 - 497) verfügte die IV-Stelle a m 10. April 2014 wie angekündigt (Urk. 2).</w:t>
      </w:r>
    </w:p>
    <w:p>
      <w:r>
        <w:rPr>
          <w:b/>
        </w:rPr>
        <w:t>E. 2</w:t>
      </w:r>
    </w:p>
    <w:p>
      <w:r>
        <w:t>Dagegen erhob X.___</w:t>
      </w:r>
    </w:p>
    <w:p>
      <w:r>
        <w:t>am 26. Mai 2014 Bes chwerde (Urk. 1) und bean tragte, die angefochtene Verfügung sei aufzuheben und die Beschwerdegegnerin sei zu verpflichten, ihr die Kosten für die Ausbildung des Blindenführhundes sowie Kosten für dessen Unterhalt ab 1. April 2007 bis zum Ende seines Einsat zes als Führhund (inkl. Verzugszins) zu vergüten. Eventualiter sei die Beschwer degegnerin zu verpflichten, diese Kosten mittels Austauschverfügung zu über nehmen. Subeventualiter sei das vorliegende Verfahren zu sistieren , bis die Beschwerdegegnerin im laufenden Rentenverfahren entschieden habe, ob die Kosten für den Blindenführhund als Gewinnungskosten vom Invalideneinkom men</w:t>
      </w:r>
    </w:p>
    <w:p>
      <w:r>
        <w:t>abgezogen w e rden (Urk. 1 S. 2-3). Mit Beschwerdeantwort vom 14. Juli 2014 (Urk. 7 unter Beilage ihrer Akten, Urk. 8/1-658) schloss die Beschwerde gegnerin auf Abweisung der Beschwerde, was der Beschwerdeführe rin mit Schreiben vom 30. Juli 2014 (Urk. 9) zur Kenntnis gebracht wurde.</w:t>
      </w:r>
    </w:p>
    <w:p>
      <w:r>
        <w:rPr>
          <w:b/>
        </w:rPr>
        <w:t>E. 2.1.1</w:t>
      </w:r>
    </w:p>
    <w:p>
      <w:r>
        <w:t>Gemäss Art. 21 des Bundesgesetzes über die Invalidenversicherung ( IVG )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 men einer vom Bundesrat aufzustellenden Liste ohne Rücksicht auf die Erwerbs fähigkeit Anspruch auf solche Hilfsmittel (Abs. 2). Die Versicherung gibt die Hilfsmittel zu Eigentum oder leihweise in einfacher und zweckmässiger Aus führung ab. Ersetzt ein Hilfsmittel Gegenstände, die der Versicherte auch ohne Invalidität anschaffen müsste, so hat er sich an den Kosten zu beteiligen (Abs. 3). Der Bundesrat kann vorsehen, dass der Versicherte ein leihweise abge gebenes Hilfsmittel nach Wegfall der Anspruchsvoraussetzungen weiter ver wenden darf (Abs. 4).</w:t>
      </w:r>
    </w:p>
    <w:p>
      <w:r>
        <w:t>Die Befugnis zur Aufstellung der Hilfsmittelliste und zum Erlass ergänzender Vorschriften im Sinne von Art. 21 Abs.</w:t>
      </w:r>
    </w:p>
    <w:p>
      <w:r>
        <w:rPr>
          <w:b/>
        </w:rPr>
        <w:t>E. 2.1.2</w:t>
      </w:r>
    </w:p>
    <w:p>
      <w:r>
        <w:t>Gemäss Ziffer 11.02 der Hilfsmittelliste besteht Anspruch auf einen Blinden führ hund , sofern die Eignung der versicherten Person als Führhundehalterin erwiesen ist und sie sich dank dieser Hilfe ausserhalb des Hauses selbständig fortbewegen kann.</w:t>
      </w:r>
    </w:p>
    <w:p>
      <w:r>
        <w:rPr>
          <w:b/>
        </w:rPr>
        <w:t>E. 2.2.1</w:t>
      </w:r>
    </w:p>
    <w:p>
      <w:r>
        <w:t>Nach Art. 26 bis Abs. 1 IVG steht den Versicherten die Wahl unter den Abgabe stellen für Hilfsmittel frei, wenn sie den kantonalen Vorschriften und den An forderungen der Versicherung genügen .</w:t>
      </w:r>
    </w:p>
    <w:p>
      <w:r>
        <w:rPr>
          <w:b/>
        </w:rPr>
        <w:t>E. 2.2.2</w:t>
      </w:r>
    </w:p>
    <w:p>
      <w:r>
        <w:t>Einschränkende Anforderungen der Versicherung können sich aus Tarifver trägen ergeben. Gemäss Art. 21 quater Abs. 1 lit . b IVG (bis 31. Dezember 2011 gemäss Art. 27 Abs. 1 IVG) ist der Bundesrat befugt, mit den Abgabestellen für Hilfsmittel solche Verträge zu schliessen. Die Befugnis zum Vertragsabschluss delegierte der Bundesrat in Art. 24 Abs. 2 IVV an das Bundesamt . Besteht ein solcher Tarifvertrag, so gelten aufgrund von Art. 24 Abs. 3 IVV die vertraglich festgelegten beruflichen Bedingungen als Mindestanforderungen der Versiche rung im Sinne von Art. 26 bis Abs. 1 IVG auch für Abgabestellen, die dem Ver trag nicht beigetreten sind . Das in Art. 26 bis Abs. 1 IVG statuierte freie Wahl recht der Versicherten steht somit unter dem zusätzlichen Vorbehalt der in einem Vertrag festgelegten beruflichen Anforderungen</w:t>
      </w:r>
    </w:p>
    <w:p>
      <w:r>
        <w:t>( ZAK 1988 S. 88 ff., AHI 1999 S. 172 ff. , Urteil des Eidgenössischen Versicherungsgericht I 296/06 vom 1. Dezember 2006 E. 1.4 ).</w:t>
      </w:r>
    </w:p>
    <w:p>
      <w:r>
        <w:rPr>
          <w:b/>
        </w:rPr>
        <w:t>E. 2.2.3</w:t>
      </w:r>
    </w:p>
    <w:p>
      <w:r>
        <w:t>Das Bundesamt für Sozialversicherungen (BSV) hat mit verschiedenen Blinden führhund e schulen einen Tarifvertrag betreffend die mietweise Abgabe von Blindenführhunden an IV-Versicherte geschlossen</w:t>
      </w:r>
    </w:p>
    <w:p>
      <w:r>
        <w:t>( vgl. www.bsv.admin.ch/voll zug/documents/view/4059/lang:deu/category:55; ),</w:t>
      </w:r>
    </w:p>
    <w:p>
      <w:r>
        <w:t>welche r per 1. Januar 2004 in Kraft getreten ist (Ziff. 7 des Tarifvertrages). Der Tarifvertrag regelt insbeson dere die Kostenvergütung (Tarife) sowie die Grundsätze der Qualitätsanforde rungen bezüglich der Hunde, der Mietstelle, der Ausbildung der Hunde sowie der Blindenführ hunde ausbilder (Anhang 3 des Tarifvertrages) . 3.</w:t>
      </w:r>
    </w:p>
    <w:p>
      <w:r>
        <w:rPr>
          <w:b/>
        </w:rPr>
        <w:t>E. 3</w:t>
      </w:r>
    </w:p>
    <w:p>
      <w:r>
        <w:t>Auf die Vorbringen der Parteien sowie die eingereichten Unterlagen wird, so weit erforderlich, im Rahmen der nachfolgenden Erwägungen eingegangen. Das Gericht zieht in Erwägung: 1.</w:t>
      </w:r>
    </w:p>
    <w:p>
      <w:r>
        <w:rPr>
          <w:b/>
        </w:rPr>
        <w:t>E. 3.1</w:t>
      </w:r>
    </w:p>
    <w:p>
      <w:r>
        <w:t>Das BSV hielt in seiner Stellungnahme vom 2. Dezember 2008 (Urk. 8/489) fest , gemäss dem Tarifvertrag müsse die Ausbildung von Blindenführhunden durch diplomiertes Fachpersonal mit Abschluss einer von der Versicherung aner kann ten Ausbildung erfolgen. Diese Ausbildung dauere 3 bis 3,5 Jahre und umfasse ungefähr 800 Stunden Unterricht in den ersten zwei Jahren.</w:t>
      </w:r>
    </w:p>
    <w:p>
      <w:r>
        <w:t>Man habe mit dem Verein Z.___ Kontakt gehabt und mit d en Verantwortlichen dieses Ver eins die Bedingungen für eine Anerkennung als Mietstelle erläutert, ein Antrag zum Beitritt zum geltenden Tarifvertrag sei indessen nie erfolgt. Aufgrund der Unterlagen sei denn auch davon auszugehen, dass die Führhund e instruktoren dieses Vereins die vertraglich festgelegten Kriterien nicht erfüll t en. Mit Blick auf Art. 24 Abs. 3 IVV könne deshalb keine Kostengutsprache erfolgen.</w:t>
      </w:r>
    </w:p>
    <w:p>
      <w:r>
        <w:rPr>
          <w:b/>
        </w:rPr>
        <w:t>E. 3.2</w:t>
      </w:r>
    </w:p>
    <w:p>
      <w:r>
        <w:t>Es ist nicht zu beanstanden, dass die Beschwerdegegnerin gestützt auf die Stel lungnahme des BSV eine Kostenübernahme verneint hat. Dass die Instruktoren des Vereins Z.___ entgegen den Ausführungen des BSV die versicherungsrechtli chen Anforderungen erfüllen würden, wurde von der Beschwerdeführerin nicht darge tan . Aus den am 13. November 2008 eingereichten Dokumenten (Urk. 8/487) ergeben sich keine Hinweise auf absolvierte Ausbildungen der Instruktoren des Vereins Z.___ . Auch nach der ergangenen Stellungnahme durch das BSV wurde sodann von Seiten der Beschwerdeführerin lediglich vorge bracht, die Hunde würden durch eine „erfahrene Trainerin“ ausgebildet ( Ein wand vom 23. Januar 2009, Urk. 8/493 /1 ).</w:t>
      </w:r>
    </w:p>
    <w:p>
      <w:r>
        <w:t>S chliesslich wurde auch im vorlie genden Beschwerdeverfahren nichts angeführt , was zu einem anderen Schluss führen könnte. Aus der Tatsache , dass der Verein Z.___ Blindenführhunde aus bilde t , die an österreichische Führhundehalter abgegeben werden (Urk. 1 S. 4-5), kann nicht geschlossen werden, dass auch die Anforderungen gemäss Schweizer Recht erfüllt sind . In den von der Beschwerdeführerin eingereichten österrei chischen Richtlinien (Urk. 8/487/2ff.) sind denn auch keine Anforderung bezüg lich absolvierter Ausbildung der Instruktoren aufgeführt ( vgl. Richtlinie Ziff. 2.2).</w:t>
      </w:r>
    </w:p>
    <w:p>
      <w:r>
        <w:t>Bei dieser Sachlage musste die Beschwerdegegnerin</w:t>
      </w:r>
    </w:p>
    <w:p>
      <w:r>
        <w:t>- entgegen den Ausführun gen der Beschwerdeführerin (E. 1.2) – keine weiteren Abklärungen tätigen .</w:t>
      </w:r>
    </w:p>
    <w:p>
      <w:r>
        <w:rPr>
          <w:b/>
        </w:rPr>
        <w:t>E. 3.3</w:t>
      </w:r>
    </w:p>
    <w:p>
      <w:r>
        <w:t>Hinzu</w:t>
      </w:r>
    </w:p>
    <w:p>
      <w:r>
        <w:t>kommt, dass gemäss Tarifvertrag lediglich die mietweise Abgabe vorgese hen ist, die Beschwerdeführerin ihren Hund jedoch zu Eigentum erworben hat. Nach Ziffer 11.02 der Hilfsmittelliste übernimmt die Invalidenversicherung die Kosten gemäss Tarifvertrag mit den Führhundeschulen. G emäss der gesetzlichen Ordnung können demnach nur Kosten für die leih weise Abgabe übernommen werden. Entgegen der Ansicht der Beschwerdeführerin (Urk. 8/493/3) ist die Be schränkung des Anspruchs auf die leihweise Abgabe und die damit verbun dene Haftung der Führhundeschule für den Einsatz des Führhundes durchaus gerechtfertigt. Beim Blindenführhund handelt es sich um ein kostspieliges Hilfsmittel und</w:t>
      </w:r>
    </w:p>
    <w:p>
      <w:r>
        <w:t>d ie Invalidenversicherung hat ein legitimes Interesse dara n, lediglich insoweit Kosten zu übernehmen , als der Führhund erfolgreich bei der versicherten Person eingesetzt werden kann.</w:t>
      </w:r>
    </w:p>
    <w:p>
      <w:r>
        <w:t>Nachdem der Z.___ weder Vertragspartner des BSV, noch die Gleichwertigkeit gemäss Tarifvertrag (E. 2.2.3) dargelegt ist und es der Beschwerdeführerin - wie schon 1997 ( Urk. 8/138) - zumutbar gewesen wäre, einen Führhund bei einer anerkannten Institution zu beziehen, hat die Beschwerdegegnerin einen An spruch auf Kostengutsprache zu Recht verneint.</w:t>
      </w:r>
    </w:p>
    <w:p>
      <w:r>
        <w:rPr>
          <w:b/>
        </w:rPr>
        <w:t>E. 4</w:t>
      </w:r>
    </w:p>
    <w:p>
      <w:r>
        <w:t>Die Beschwerdeführerin beantragt eventualiter, die Beschwerdegegnerin sei zu verpflichten, die Kosten mittels Austauschverfügung zu übernehmen (Sachver halt E. 2). Entgegen der Ansicht der Beschwerdeführerin kann aus der Rechts figur der Austauschbefugnis nichts zu ihren Gunsten abgeleitet werden. Die Aus tauschbefugnis kommt nur zum Tragen, wenn zwei unterschiedliche, aber von der Funktion her austauschbare Leistungen in Frage stehen. Vorausgesetzt wird mithin ein substitutio nsfähiger aktueller gesetzlicher Leistungsanspruch (BGE 127 V 121 E. 2b, 120 V 280 E. 4; AHI 2000 S. 73 E. 2a und 1999 S. 176 f. E. 5). Im vorliegenden Fall sollen nicht Leistungsansprüche, sondern Leistungs erbringer</w:t>
      </w:r>
    </w:p>
    <w:p>
      <w:r>
        <w:t>(zugelassene und nicht zugelassene) ausgetauscht werden; ein substi tutionsfähiger Leistungsanspruch fehlt somit . Damit liegt kein Anwendungsfall der Austauschbefugni s vor (vgl. AHI 1999 S. 176 f.), weshalb auch das Eventu albegehren abzuweisen ist.</w:t>
      </w:r>
    </w:p>
    <w:p>
      <w:r>
        <w:rPr>
          <w:b/>
        </w:rPr>
        <w:t>E. 5</w:t>
      </w:r>
    </w:p>
    <w:p>
      <w:r>
        <w:t>Kann der strittige Anspruch abschliessend beurteilt werden, ist schliesslich auch das Subeventualbegehren um Sistierung des Verfahrens (Sachverhalt E. 2) ab zuweisen.</w:t>
      </w:r>
    </w:p>
    <w:p>
      <w:r>
        <w:rPr>
          <w:b/>
        </w:rPr>
        <w:t>E. 6</w:t>
      </w:r>
    </w:p>
    <w:p>
      <w:r>
        <w:t>.</w:t>
      </w:r>
    </w:p>
    <w:p>
      <w:r>
        <w:t>Die Kosten des Verfahrens sind auf Fr. 600.-- festzulegen und ausgangsgemäss von der Beschwerdeführerin zu tragen (Art. 69 Abs. 1 bis IVG).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