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IV.2014.00461 vom 8. Januar 2015</w:t>
      </w:r>
    </w:p>
    <w:p>
      <w:r>
        <w:t>ZH Sozialversicherungsgericht, 2015-01-08, DE</w:t>
      </w:r>
    </w:p>
    <w:p>
      <w:r>
        <w:rPr>
          <w:b/>
        </w:rPr>
        <w:t xml:space="preserve">Quelle: </w:t>
      </w:r>
      <w:r>
        <w:t>https://mcp.opencaselaw.ch/entscheid/zh_sozialversicherungsgericht_IV.2014.00461</w:t>
      </w:r>
    </w:p>
    <w:p>
      <w:r>
        <w:t>FR: ZH_SOZIALVERSICHERUNGSGERICHT IV.2014.00461 du 8 janvier 2015</w:t>
      </w:r>
    </w:p>
    <w:p>
      <w:r>
        <w:t>IT: ZH_SOZIALVERSICHERUNGSGERICHT IV.2014.00461 del 8 gennaio 2015</w:t>
      </w:r>
    </w:p>
    <w:p>
      <w:pPr>
        <w:pStyle w:val="Heading2"/>
      </w:pPr>
      <w:r>
        <w:t>Erwägungen</w:t>
      </w:r>
    </w:p>
    <w:p>
      <w:r>
        <w:rPr>
          <w:b/>
        </w:rPr>
        <w:t>E. 17</w:t>
      </w:r>
    </w:p>
    <w:p>
      <w:r>
        <w:t>ATSG darstellt.</w:t>
      </w:r>
    </w:p>
    <w:p>
      <w:r>
        <w:t>Schliesslich ist darauf hin zuweisen, dass auch die Gutachter des Y.___ feststellten, es sei angesichts des schubweisen Verlaufs dieser Krankheit schwierig, die Arbeitsfähigkeit langfristig zu beurteilen, wobei sie eine entsprechende Protokollierung der Krankheits schübe über 6 bis 12 Monate als notwendig erachteten. Ferner erklärten sie, stellungnehmend zu früheren Arztberichten, die Einschätzung einer vollen Arbeitsunfähigkeit sei angesichts der Tatsache, dass der Beschwerdeführer kaum einen Arbeitgeber finden werde, welcher willens sei, ihn einzustellen, nachvoll ziehbar ( Urk. 8/85/18). 5.</w:t>
      </w:r>
    </w:p>
    <w:p>
      <w:r>
        <w:t>Zusammenfassend ist der ursprüngliche Rentenentscheid nicht zweifellos un richtig. Damit erweist sich die wiedererwägungsweise Herabsetzung der Leis tungszuspra che</w:t>
      </w:r>
    </w:p>
    <w:p>
      <w:r>
        <w:t>als nicht gerechtfertigt. Dementsprechend ist die angefochtene Verfügung in Gut heissung der Beschwerde aufzuheben, was zum Wiederaufle ben der Renten ver fügung vom 5. Oktober 1999 ( Urk. 8/22 ) mit den entspre chenden AHV-rechtlichen Anpassungen führt. 6.</w:t>
      </w:r>
    </w:p>
    <w:p>
      <w:r>
        <w:t>6.1</w:t>
      </w:r>
    </w:p>
    <w:p>
      <w:r>
        <w:t>Gemäss Art. 69 Abs. 1 bis</w:t>
      </w:r>
    </w:p>
    <w:p>
      <w:r>
        <w:t>IVG ist abweichend von Art. 61 lit . a ATSG das Be schwerdeverfahren bei Streitigkeiten um die Bewilligung oder die Verweigerung von IV-Leistungen vor dem kantonalen Versicherungsgericht kostenpflichtig. Die Kosten werden nach dem Verfahrensaufwand unabhängig vom Streitwert im Rahmen von Fr. 200.-- bis 1 ‘ 000.-- festgelegt. Die Gerichtskosten sind auf Fr. 600.-- festzusetzen und ausgangsgemäss der Beschwerdegegnerin aufzuerle gen. 6.2</w:t>
      </w:r>
    </w:p>
    <w:p>
      <w:r>
        <w:t>Nach § 34 Abs. 1 des Gesetzes über das Sozialver sicherungsgericht ( GSVGer ) hat</w:t>
      </w:r>
    </w:p>
    <w:p>
      <w:r>
        <w:t>die obsiegende Beschwerde führende Person Anspruch auf Ersatz der Partei kos ten . Diese werden ohne Rücksicht auf den Streitwert nach der Bedeutung der Streitsache, der Schwierigkeit des Prozesses und dem Mass des Obsiegens be messen (§ 34 Abs. 3 GSVGer ). In der vorliegenden Angelegenheit erscheint eine Prozessentschädigung von Fr. 1‘800.-- (inkl. MWSt und Barauslagen) als ange messen. Das Gesuch des Beschwerdeführers um unentgeltliche Prozessführung bzw. Rechtsverbeiständung erweist sich bei diesem Prozessausgang als gegen standslos. Das Gericht erkennt: 1.</w:t>
      </w:r>
    </w:p>
    <w:p>
      <w:r>
        <w:t>In Gutheissung der Beschwerde wird die Verfügung der Beschwerdegegnerin vom 1 1. März 2014 aufgehoben. 2.</w:t>
      </w:r>
    </w:p>
    <w:p>
      <w:r>
        <w:t>Die Gerichtskosten von Fr. 600 .-- werden der Beschwerdegegnerin auferlegt. Rech nung und Einzahlungsschein werden der Kostenpflichtigen nach Eintritt der Rechts kraft zugestellt. 3.</w:t>
      </w:r>
    </w:p>
    <w:p>
      <w:r>
        <w:t>Die Beschwerdegegnerin wird verpflichtet, dem Beschwerdeführer eine Prozessent schädigung von Fr. 1'800 .-- (inkl. Barauslagen und MWSt ) zu bezahlen. 4.</w:t>
      </w:r>
    </w:p>
    <w:p>
      <w:r>
        <w:t>Zustellung gegen Empfangsschein an: - Rechtsanwalt Daniel Christe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HurstGiger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