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IV.2014.00204 vom 15. August 2015</w:t>
      </w:r>
    </w:p>
    <w:p>
      <w:r>
        <w:t>ZH Sozialversicherungsgericht, 2015-08-15, DE</w:t>
      </w:r>
    </w:p>
    <w:p>
      <w:r>
        <w:rPr>
          <w:b/>
        </w:rPr>
        <w:t xml:space="preserve">Quelle: </w:t>
      </w:r>
      <w:r>
        <w:t>https://mcp.opencaselaw.ch/entscheid/zh_sozialversicherungsgericht_IV.2014.00204</w:t>
      </w:r>
    </w:p>
    <w:p>
      <w:r>
        <w:t>FR: ZH_SOZIALVERSICHERUNGSGERICHT IV.2014.00204 du 15 août 2015</w:t>
      </w:r>
    </w:p>
    <w:p>
      <w:r>
        <w:t>IT: ZH_SOZIALVERSICHERUNGSGERICHT IV.2014.00204 del 15 agosto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1956 geborene X.___ meldete sich am 2 1. April 2010 unter Hinweis auf eine dislozierte, distale, mehrfragmentäre intraartikuläre Humerusfraktur links sowie eine Partialruptur der Rotatorenmanschette links bei der Eidgenössischen Invalidenversicherung zum Rentenbezug sowie</w:t>
      </w:r>
    </w:p>
    <w:p>
      <w:r>
        <w:t>für Massnahmen der beruflichen Eingliederung an (Urk. 5/5). Das Leiden geht auf einen am 3 0. Juni 2009 erlittenen Unfall zurück (vgl. Urk. 5/16/87).</w:t>
      </w:r>
    </w:p>
    <w:p>
      <w:r>
        <w:t>Die Sozial versicherungsanstalt des Kantons Zürich, IV-Stelle, tätigte medizinische sowie erwerbliche Abklärungen, wobei sie insbesondere eine Evaluation der funktio nellen Leistungsfähigkeit (EFL) durch die Rehaklinik Y.___ vornehmen liess (Bericht vom 1 1. April 2011, Urk. 5/41 ; Ergänzung vom 1 4. Juni 2011, Urk. 5/53 ) und im Rahmen der vom Unfallversicherer beim Z.___</w:t>
      </w:r>
    </w:p>
    <w:p>
      <w:r>
        <w:t>veranlassten Begutachtung (vgl. Urk . 5/60) Ergänzungs fragen stellte (vgl. Urk. 5/48) . Gestützt darauf (vgl. das Feststel lungsblatt , Urk. 5/63) stellte die IV-Stelle der Versicherten mit Vorbescheid vom 2 0. Juli 2012 die Abweisung ihres Rentenbegehrens in Aussicht (Urk. 5/65).</w:t>
      </w:r>
    </w:p>
    <w:p>
      <w:r>
        <w:t>Hiergegen erhob die Versicherte am 6. September 2012, korrigiert am 7. September 2012 und ergänzt am 16. Oktober 2012, am 23. Mai 2013 und am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