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IV.2014.00069 vom 14. Mai 2014</w:t>
      </w:r>
    </w:p>
    <w:p>
      <w:r>
        <w:t>ZH Sozialversicherungsgericht, 2014-05-14, DE</w:t>
      </w:r>
    </w:p>
    <w:p>
      <w:r>
        <w:rPr>
          <w:b/>
        </w:rPr>
        <w:t xml:space="preserve">Quelle: </w:t>
      </w:r>
      <w:r>
        <w:t>https://mcp.opencaselaw.ch/entscheid/zh_sozialversicherungsgericht_IV.2014.00069</w:t>
      </w:r>
    </w:p>
    <w:p>
      <w:r>
        <w:t>FR: ZH_SOZIALVERSICHERUNGSGERICHT IV.2014.00069 du 14 mai 2014</w:t>
      </w:r>
    </w:p>
    <w:p>
      <w:r>
        <w:t>IT: ZH_SOZIALVERSICHERUNGSGERICHT IV.2014.00069 del 14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1959, reiste 1988 in die Schweiz ein (Urk. 8/5/1). Sie ging verschiedenen Erwerbstätigkeiten nach; zuletzt war sie bis zur krankheitsbedingten Entlassung per 3 1. August 1997 als Spitalangestellte im Y.___ tätig (Arbeitgeberfragebogen vom 6. Januar 1 997 [ Urk. 8/4 ]; Austrittsverfügung [Urk. 8/14] ). Bereits s eit Jahren befand sie sich wegen Rückenproblemen in hausärztlicher Behandlung bei Dr. med. Z.___ , der ihr verschiedentlich Arbeitsunfähigkeiten attestierte und wiederholt auch auf die psycho-soziale Belastungssitution durch die Pflege des 1986 geborenen behinderten Sohnes hinwies (Urk. 8/2/8- 10 und Bericht vom 6. Dezember 1996, Urk. 8/3/1-4).</w:t>
      </w:r>
    </w:p>
    <w:p>
      <w:r>
        <w:t>Am 1 2. November 1996 meldete sich X.___ bei der Invalidenversicherung zum Leistungsbezug an (Urk. 8/1). G estützt auf verschie dene , zuhanden der Versicherungskasse der Stadt Zürich erstellte vertrauens ärztliche Gutachten (Urk. 8/</w:t>
      </w:r>
    </w:p>
    <w:p>
      <w:r>
        <w:rPr>
          <w:b/>
        </w:rPr>
        <w:t>E. 6</w:t>
      </w:r>
    </w:p>
    <w:p>
      <w:r>
        <w:t>und Urk. 8/13 ) sowie Berichte der Klin i k A.___ (Urk. 8/17-18; vgl. auch Feststellungsblatt vom 1 3. März 1998, Urk. 8/32) sprach die IV-Stelle Zürich der Versicherten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