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IV.2013.01168 vom 31. Januar 2015</w:t>
      </w:r>
    </w:p>
    <w:p>
      <w:r>
        <w:t>ZH Sozialversicherungsgericht, 2015-01-31, DE</w:t>
      </w:r>
    </w:p>
    <w:p>
      <w:r>
        <w:rPr>
          <w:b/>
        </w:rPr>
        <w:t xml:space="preserve">Quelle: </w:t>
      </w:r>
      <w:r>
        <w:t>https://mcp.opencaselaw.ch/entscheid/zh_sozialversicherungsgericht_IV.2013.01168</w:t>
      </w:r>
    </w:p>
    <w:p>
      <w:r>
        <w:t>FR: ZH_SOZIALVERSICHERUNGSGERICHT IV.2013.01168 du 31 janvier 2015</w:t>
      </w:r>
    </w:p>
    <w:p>
      <w:r>
        <w:t>IT: ZH_SOZIALVERSICHERUNGSGERICHT IV.2013.01168 del 31 gennaio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1976, absolvierte von 1993 bis 1996 bei Y.___ , Z.___ , eine Lehre als Heizungsmonteur und war in der Folge weiterhin als solcher bei diesem tätig ( Urk. 6/2/4 und Urk. 6/5). Am 1 7. Mai 1998 zog er sich bei einem Autounfall ein s chweres Schädelhirntrauma, einen Pneumotho rax rechts sowie eine Claviculafraktur rechts zu</w:t>
      </w:r>
    </w:p>
    <w:p>
      <w:r>
        <w:t>( Urk. 6/13/65 ) . Die Schweizeri sche Unfallversicherungsanstalt (SUVA) erbrachte die gesetzlichen Leistungen (Heilbe handlung, Taggeld). Vom 3. Juni bis 1 2. August 1998 hielt sich X.___ zur neurologischen Frührehabilitation und vom 2 0. Januar bis 2 4. Februar 1999 zur Abklärung einer beruflichen Wiedereingliederung und neuropsycholo gi schen</w:t>
      </w:r>
    </w:p>
    <w:p>
      <w:r>
        <w:t>Kontrolle in der Klinik A.___ auf ( Urk. 6/13/ 39f. und Urk. 6/13/12f. ) . Nach weiteren Abklärungen sprach ihm die SUVA , ausgehend von einer Erwerbs un fähigkeit von 60 % , mit Verfügung vom 2 7. Juni 2000</w:t>
      </w:r>
    </w:p>
    <w:p>
      <w:r>
        <w:t>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