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IV.2013.01005 vom 5. Februar 2015</w:t>
      </w:r>
    </w:p>
    <w:p>
      <w:r>
        <w:t>ZH Sozialversicherungsgericht, 2015-02-05, DE</w:t>
      </w:r>
    </w:p>
    <w:p>
      <w:r>
        <w:rPr>
          <w:b/>
        </w:rPr>
        <w:t xml:space="preserve">Quelle: </w:t>
      </w:r>
      <w:r>
        <w:t>https://mcp.opencaselaw.ch/entscheid/zh_sozialversicherungsgericht_IV.2013.01005</w:t>
      </w:r>
    </w:p>
    <w:p>
      <w:r>
        <w:t>FR: ZH_SOZIALVERSICHERUNGSGERICHT IV.2013.01005 du 5 février 2015</w:t>
      </w:r>
    </w:p>
    <w:p>
      <w:r>
        <w:t>IT: ZH_SOZIALVERSICHERUNGSGERICHT IV.2013.01005 del 5 febbraio 2015</w:t>
      </w:r>
    </w:p>
    <w:p>
      <w:pPr>
        <w:pStyle w:val="Heading2"/>
      </w:pPr>
      <w:r>
        <w:t>Erwägungen</w:t>
      </w:r>
    </w:p>
    <w:p>
      <w:r>
        <w:rPr>
          <w:b/>
        </w:rPr>
        <w:t>E. 2</w:t>
      </w:r>
    </w:p>
    <w:p>
      <w:r>
        <w:t>0. August 2013 an einem geschützten Arbeitsplatz bei der Stiftung S .___ tätig war. Die Spezialisten berichteten am 2 9. Oktober 2013 ( Urk. 3/8) über seinen Einsatz für körperlich leichte Arbeiten sowie Sägearbeiten stehend und sitzend an kleiner Bandsäge, aufzeichnen , aussägen, bohren , fasen und schleifen eine r zusammenhängenden Serie. Diese Arbeiten habe er sehr gut er ledigen können. Ab Mitte Oktober seien auch Versuche mit körperlich strenge re n Arbeiten durchgeführt worden, z.B. Reparatur von Gemüsepaloxen , was we gen Schmerzen nicht erfolgreich gewesen sei ( S.</w:t>
      </w:r>
    </w:p>
    <w:p>
      <w:r>
        <w:t>1 f.). Die Betreuer führten aus, der Beschwerdeführer sei willig und motiviert, zu arbeiten. Er bringe von seinen handwerklichen und sozialen Kompetenzen her die Voraussetzungen mit sich, um</w:t>
      </w:r>
    </w:p>
    <w:p>
      <w:r>
        <w:t>sich auch im 1. Arbeitsmarkt wieder mindestens teilweise integrieren zu können . Direkt ein 100 % -Pensum dauerhaft bewältigen zu können, hielten sie für un realistisch. Er könne einfachere Arbeiten, bei denen es keine grossen Las ten zu heben gebe, konstant und in guter Qualität ausführen. Er sei auch in der Lage, neue Arbeitsgänge in nützlicher Frist zu erlernen (S. 2).</w:t>
      </w:r>
    </w:p>
    <w:p>
      <w:r>
        <w:t>Damit hat der Beschwerdeführer eine weitere Eingliederungsmassnahme durch laufen, weshalb eine erneute Vorstellung bei der Beschwerdegegnerin umso we niger als notwendig erscheint. Dass die subjektiven Schmerzen eine weiterge hende Arbeitstätigkeit aus Sicht der Betreuer nicht erlauben, ist nicht von inva lidenversicherungsrechtlicher Relevanz. 5.6</w:t>
      </w:r>
    </w:p>
    <w:p>
      <w:r>
        <w:t>Dem Beschwerdeführer ist es nach dem Gesagten zumutbar, seine berufliche Eingliederung selber voranzutreiben. Damit erweist sich die Renteneinstellung als zulässig, weshalb die Beschwerde abzuweisen ist.</w:t>
      </w:r>
    </w:p>
    <w:p>
      <w:r>
        <w:rPr>
          <w:b/>
        </w:rPr>
        <w:t>E. 6</w:t>
      </w:r>
    </w:p>
    <w:p>
      <w:r>
        <w:t>Gemäss Art. 69 Abs. 1 bis IVG ist das Beschwerdeverfahren vor dem kantonalen Versicherungsgericht bei Streitigkeiten um die Bewilligung oder Verweigerung von IV-Leistungen in Abweichung von Art. 61 lit . a ATSG kostenpflichtig, wo bei die Kosten nach dem Verfahrensaufwand und unabhängig vom Streitwert im Rahmen von Fr. 200.-- bis Fr. 1'000.-- festgelegt werden. Entsprechend dem Ausgang des Verfahrens s ind die ermessensweise auf Fr.</w:t>
      </w:r>
    </w:p>
    <w:p>
      <w:r>
        <w:rPr>
          <w:b/>
        </w:rPr>
        <w:t>E. 8</w:t>
      </w:r>
    </w:p>
    <w:p>
      <w:r>
        <w:t>00.-- anzusetzenden Gerichtskosten de m unterliegenden Beschwerdeführer aufzuerlegen.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Ivo Wiesendanger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