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IV.2013.00821 vom 7. März 2014</w:t>
      </w:r>
    </w:p>
    <w:p>
      <w:r>
        <w:t>ZH Sozialversicherungsgericht, 2014-03-07, DE</w:t>
      </w:r>
    </w:p>
    <w:p>
      <w:r>
        <w:rPr>
          <w:b/>
        </w:rPr>
        <w:t xml:space="preserve">Quelle: </w:t>
      </w:r>
      <w:r>
        <w:t>https://mcp.opencaselaw.ch/entscheid/zh_sozialversicherungsgericht_IV.2013.00821</w:t>
      </w:r>
    </w:p>
    <w:p>
      <w:r>
        <w:t>FR: ZH_SOZIALVERSICHERUNGSGERICHT IV.2013.00821 du 7 mars 2014</w:t>
      </w:r>
    </w:p>
    <w:p>
      <w:r>
        <w:t>IT: ZH_SOZIALVERSICHERUNGSGERICHT IV.2013.00821 del 7 marzo 2014</w:t>
      </w:r>
    </w:p>
    <w:p>
      <w:pPr>
        <w:pStyle w:val="Heading2"/>
      </w:pPr>
      <w:r>
        <w:t>Erwägungen</w:t>
      </w:r>
    </w:p>
    <w:p>
      <w:r>
        <w:rPr>
          <w:b/>
        </w:rPr>
        <w:t>E. 1.1</w:t>
      </w:r>
    </w:p>
    <w:p>
      <w:r>
        <w:t>Invalidität ist die voraussichtlich bleibende oder längere Zeit dauernde ganze oder tei lweise Erwerbsunfähigkeit (Art. 8 Abs. 1 des Bundesgesetzes über den Allgemeinen Teil des Sozialversicherungsrechts, ATSG). Die Invalidität kann Folge von Geburtsgebrechen, Kran 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BGE 130 V 343 E. 3.4.2 mit Hinweisen).</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1.5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2.</w:t>
      </w:r>
    </w:p>
    <w:p>
      <w:r>
        <w:rPr>
          <w:b/>
        </w:rPr>
        <w:t>E. 2</w:t>
      </w:r>
    </w:p>
    <w:p>
      <w:r>
        <w:t>Gegen die Verfügungen vom 12. und 16. August 2013 (Urk. 2/1-3 ) erhob der Versicherte am 16. September 2013 Beschwerde und beantragte die Ausrichtung einer angemessenen Invalidenrente vo n Mai 2009 bis Juni 2010, vo n September 2012 bis Juli 201</w:t>
      </w:r>
    </w:p>
    <w:p>
      <w:r>
        <w:rPr>
          <w:b/>
        </w:rPr>
        <w:t>E. 2.1</w:t>
      </w:r>
    </w:p>
    <w:p>
      <w:r>
        <w:t>Die Beschwerdegegnerin ging in ihren Verfügungen vom 1 2. und 16. August 2013 (Urk. 2/1-3 ) gestützt auf ihre Abklärungen von einer Arbeitsfähigkeit des Beschwerdeführers in angestammter sowie in einer der Behinderung angepass ten Tätigkeit von 30 % nach Ablauf der Wartezeit (Januar 2007) , von einer ab dem 9. Februar 2009 zumutbaren behinderungsangepassten Tätigkeit (Kontroll arbeiten, Überwachung oder einfache administrative Tätigkeiten) von 80 %, von einer vollständigen Arbeitsunfähigkeit ab April 2011 und von einer Arbeitsfä higkeit in behinderungsangepasste r Tätigkeit im Umfang von 75 % ab 16. Juni 2012 aus , wobei sie sich beim Einkommensvergleich nicht auf die Buchhal tungsunterlagen des Beschwerdeführers stützte, sondern auf die Tabellenlöhne abstellte (Ur k. 2/2 Verfügungsteil 2 S. 2-3).</w:t>
      </w:r>
    </w:p>
    <w:p>
      <w:r>
        <w:rPr>
          <w:b/>
        </w:rPr>
        <w:t>E. 2.2</w:t>
      </w:r>
    </w:p>
    <w:p>
      <w:r>
        <w:t>Demgegenüber era chtete der Beschwerdeführer für die Zeitperiode Mai 2009 bis Juni 2011 den von der SUVA festgesetzten Arbeitsunfähigkeitsgrad von 70 % in angestammter Tätigkeit als zutreffend und machte geltend, darüber hinaus be stünden</w:t>
      </w:r>
    </w:p>
    <w:p>
      <w:r>
        <w:t>weitere unfallfremde Einschränkungen, namentlich ein Adenokarzinom und eine Divertikulitis (Urk. 1 S. 3 ff.).</w:t>
      </w:r>
    </w:p>
    <w:p>
      <w:r>
        <w:rPr>
          <w:b/>
        </w:rPr>
        <w:t>E. 2.3</w:t>
      </w:r>
    </w:p>
    <w:p>
      <w:r>
        <w:t>Strittig und zu prüfen ist der Anspruch auf eine Invalidenrente während den Zeiten, für welche von der Beschwerdegegnerin nicht schon eine ganze Rente der Invalidenversicherung zugesprochen wurde (Mai 2009 bis Juni 2011 und ab September 2012; vgl. Urk. 2/2 Verfügungsteil 2) .</w:t>
      </w:r>
    </w:p>
    <w:p>
      <w:r>
        <w:t>Zu prüfen ist zunächst, ob die vorhandenen medizinischen Akten eine Beurtei lung dieser Frage zulassen, oder ob es weitere Abklärungen des rechtserhebli chen Sachverhalts bedarf. 3.</w:t>
      </w:r>
    </w:p>
    <w:p>
      <w:r>
        <w:rPr>
          <w:b/>
        </w:rPr>
        <w:t>E. 3</w:t>
      </w:r>
    </w:p>
    <w:p>
      <w:r>
        <w:t>und ab August 2013 (Urk. 1 Ziff. 1). Mit Beschwerdeantwort vom 17. Oktober 2013 (Urk. 5) beantragte die IV-Stelle die Abweisung der Be schwerde, was dem Beschwerdeführer am 23. Oktober 2013 zur Kenntnis ge bracht wurde (Urk. 7). Das Gericht zieht in Erwägung: 1.</w:t>
      </w:r>
    </w:p>
    <w:p>
      <w:r>
        <w:rPr>
          <w:b/>
        </w:rPr>
        <w:t>E. 3.1</w:t>
      </w:r>
    </w:p>
    <w:p>
      <w:r>
        <w:t>Am 9. Februar 200</w:t>
      </w:r>
    </w:p>
    <w:p>
      <w:r>
        <w:rPr>
          <w:b/>
        </w:rPr>
        <w:t>E. 3.2</w:t>
      </w:r>
    </w:p>
    <w:p>
      <w:r>
        <w:t>Dr. med. D.___ , FMH Urologie, stellte in seinem Bericht vom 14. Oktober 2011 (Urk. 6/34/5-6) folgende Diagnosen mit Auswirkungen auf die Arbeitsfähigkeit (Ziff. 1.1): - schlecht differenziertes Adenokarzinom der Harnblase mit Anteilen eines kleinzelligen neuroendokrinen differenzierten Karzinoms im Bereiche des Blasenhalses und der beiden Ostien (Erstdiagnose am 1. Juli 2011) - Status nach TUR (transurethral e R esektion) -Blase am 1. Juli 2011 mit TUR-Nachresektion der Blase am 23. August 2011 und Pigtaileinlage beidseits - Status nach Einleiten einer Chemotherapie mit Cisplatin und Etopophos am 3. Oktober 2011 - r ezidivierende Sigmadivertikulitis bestehend seit 2008 (ohne Auswirkun gen auf die Arbeitsfähigkeit) - r ezidivierende Divertikulitis-Schübe April 2011 bis September 2011 (ohne Auswirkungen auf die Arbeitsfähigkeit) - Status nach Autounfall mit Polytrauma 2006 Er</w:t>
      </w:r>
    </w:p>
    <w:p>
      <w:r>
        <w:t>erachtete den Beschwerdeführer in seiner zuletzt ausgeübten Tätigkeit als Automecha niker vom 1. Juli 2011 bis auf W eiteres für vollständig arbeitsunfä hig (Ziff. 1.6) und hielt betreffend Arbeitsfähigkeit in einer behinderungsange passten Tätigkeit</w:t>
      </w:r>
    </w:p>
    <w:p>
      <w:r>
        <w:t>fest, dass aktuell keine Aussage möglich sei (Ziff. 1.7).</w:t>
      </w:r>
    </w:p>
    <w:p>
      <w:r>
        <w:rPr>
          <w:b/>
        </w:rPr>
        <w:t>E. 3.3</w:t>
      </w:r>
    </w:p>
    <w:p>
      <w:r>
        <w:t>Mit Verlaufsbericht vom 15. Juni 2012 (Urk. 6/42/5-6) führte Dr. D.___ bei be kannter Diagnose aus, von Seite der physischen Erholung sei der Beschwerde führer absolut schmerzfrei und voll belastungsfähig. Einzig bestünden noch die Problematik der Notwendigkeit des vermehrten Trinkens und der häufigeren Miktionen sowie eine gewisse Belastungsinkontinenz bei Heben von schweren Lasten. Subjektiv fühle sich der Beschwerdeführer wieder zu 75 % voll arbeits fähig (S. 1).</w:t>
      </w:r>
    </w:p>
    <w:p>
      <w:r>
        <w:rPr>
          <w:b/>
        </w:rPr>
        <w:t>E. 3.4</w:t>
      </w:r>
    </w:p>
    <w:p>
      <w:r>
        <w:t>PD Dr. med. E.___ , Spezialarzt FMH für Physikalische Medizin und Rehabilitation, speziell Rheumatologie, berichtete am 18. September 2012 der Beschwerdegegnerin (Urk. 6/50/1) , dass sich beim Beschwerdeführer die Situa tion insofern noch verschlechtert habe, dass er 2012 ein Blasen-Karzinom habe operieren lassen müssen mit anschliessender Chemotherapie. Mit dieser Situa tion habe sich sein Allgemeinzustand verschlechtert. Der Beschwerdeführer sei müde und müsse wegen der Blase nachts auch häufig aufstehen. Betreffend die</w:t>
      </w:r>
    </w:p>
    <w:p>
      <w:r>
        <w:t>z e r ebrale Problematik sei er sehr vergesslich und habe Konzentrationsprobleme, sodass er nur noch eine minimale Leistung in einem eigenen Geschäft erbringen könne. Aufgrund seiner Gesamterkrankung könne er im Endeffekt höchstens noch eine Arbeitsleistung von 30 % pro Tag erreichen (S. 1 ).</w:t>
      </w:r>
    </w:p>
    <w:p>
      <w:r>
        <w:rPr>
          <w:b/>
        </w:rPr>
        <w:t>E. 3.5</w:t>
      </w:r>
    </w:p>
    <w:p>
      <w:r>
        <w:t>In ihrer Stellungnahme vom 2. April 2013 (Urk. 6/62/8) hielt Dr. med. F.___ , Allgemeine Medizin FMH, Regionaler Ärztlicher Dienst (RAD) fest , aus medizinischer Sicht sei die Arbeitsfähigkeit des Beschwerdeführers ab April 2011 auch massgeblich durch internistische Leiden eingeschränkt worden, wes halb von einer bis zu 100%igen Arbeitsunfähigkeit auszugehen sei . Zusam menfassend bestehe daher eine vollständige Arbeitsunfähigkeit in bisheriger und angepasster Tätigkeit vom 14. Januar 2006 bis zum Gutachten C.___ am 9. Februar 2009, hernach eine 30%ige Arbeitsfähigkeit in angestammter bezie hungsweise zirka 80 % in angepasst er Tätigkeit . Ab April 2011 bis 15. Juni 2012 bestehe wiederum eine vollständige Arbeitsunfähigkeit in allen Tätigkeiten aufgrund des Blasenkarzinoms und der entzündlichen Darmproblematik. Ab 16. Juni 2012 sei aufgrund der nicht unfallbedingten Leiden von einer 75%igen Arbeitsfähigkeit angepasst auszugehen. Betreffend die bisherige Tätigkeit be stehe geschätzt weiterhin eine 30%ige Arbeitsfähigkeit beziehungsweise eine Arbeitsunfähigkeit von 70 %.</w:t>
      </w:r>
    </w:p>
    <w:p>
      <w:r>
        <w:rPr>
          <w:b/>
        </w:rPr>
        <w:t>E. 3.6</w:t>
      </w:r>
    </w:p>
    <w:p>
      <w:r>
        <w:t>Beim Einkommensvergleich nach LSE (Lohnstrukturerhebung) ging die Be - schwer degegnerin aufgrund der medizinischen Beurteilung ab 16. Juni 2012 von einer zumutbaren behinderungsangepassten Tätigkeit des Beschwerdefüh rers von 75 % aus (Urk. 6/61/3). 4.</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4.1</w:t>
      </w:r>
    </w:p>
    <w:p>
      <w:r>
        <w:t>Aus den medizinischen Akten ist ersichtlich, dass der Beschwerdeführer sowohl an unfallspezifische n als auch an unfallfremde n Beeinträchtigungen leidet , na mentlich an einer unfallbedingten leichten traumatischen Hirnverletzung und einer HWS-Distorsion (vgl. vorstehend E. 3.1) sowie an einem</w:t>
      </w:r>
    </w:p>
    <w:p>
      <w:r>
        <w:t>( unfallfremden ) Harnblasenkrebs, welcher mittels transurethrale r Blasentumorresektion und Chemotherapie behandelt wurde (vgl. vorstehend E. 3.2) .</w:t>
      </w:r>
    </w:p>
    <w:p>
      <w:r>
        <w:t>Die Beschwerdegegnerin stützte ihren Entscheid auf die Stellungnahme der Ärz tin des RAD vom 2. April 201 3. Darin führte diese aus, ab 15. Juni 2012 bestehe eine 75%ige Arbeitsfähigkeit für angepasste Tätigkeiten aufgrun d nicht unfall bedingte r Leiden (vgl. vorstehend E. 3.5) , wobei sie sich betreffend Arbeitsfä higkeit auf die medizinische Einschätzung von Dr. D.___ stützte (vgl. vorste hend E. 3.3) . Sodann besteht gemäss den Gutachtern aus C.___ un fallbedingt eine angepasste Arbeitsunfähigkeit des Beschwerdeführers von 20 % bezie hungsweise eine Arbeitsfähigkeit von 80 % (vgl. vorstehend E. 3.1). Es stellt sich nun die Frage , ob die 20 %ige unfallbedingte Arbeitsunfähigkeit in den quasi internistischen 25 % „inbegriffen“ ist oder nicht (so PD Dr. E.___ im Er gebnis , welcher von einer bloss 30%igen Arbeitsfähigkeit ausging , vgl. vorste hend E. 3.4).</w:t>
      </w:r>
    </w:p>
    <w:p>
      <w:r>
        <w:t>Die Beschwerdegegnerin hat diese Frage nicht behandelt und auch n ach Lage der Akten lässt sich nicht erkennen, w ie es sich mit der unfallbe dingten Einschränkung verhält , weshalb sich der Gesundheitszustand</w:t>
      </w:r>
    </w:p>
    <w:p>
      <w:r>
        <w:t>des Be schwerdeführers in den relevanten Zeitperioden nur ungenügend beurteilen lässt. Bei dieser Aktenlage bestand für die Beschwerdegegnerin die Pflicht zu ergänzenden medizinischen Abklärungen (Art. 43 ATSG ; vgl. vorstehend E. 1.5) . Insbesondere hat die Beschwerdegegnerin in geeigneter Weise abzuklären, wie es sich gemäss medizinischer Beurteilung mit der Arbeitsfähigkeit in angepass ter Tätigkeit verhält, wenn sowohl unfallbedingte als auch unfallfremde Beein trächtigungen gesamthaft berücksichtigt werden.</w:t>
      </w:r>
    </w:p>
    <w:p>
      <w:r>
        <w:rPr>
          <w:b/>
        </w:rPr>
        <w:t>E. 4.2</w:t>
      </w:r>
    </w:p>
    <w:p>
      <w:r>
        <w:t>Zusammenfassend ergibt sich, dass über den strittigen Leistungsanspruch in den angefochtenen Zeitperioden nicht ohne zusätzliche medizinische Abklärungen entschieden werden kann. Die fehlenden Abklärungen sind grundsätzlicher Natur, weshalb die Beschwerdegegnerin diese durchzuführen hat. Der ange fochtene Entscheid ist somit aufzuheben und die Sache ist zur Durchführung der nötigen Abklärungen an die Beschwerdegegnerin zurückzuweisen.</w:t>
      </w:r>
    </w:p>
    <w:p>
      <w:r>
        <w:t>In diesem Sinne ist die Beschwerde gutzuheissen. 5. 5.1</w:t>
      </w:r>
    </w:p>
    <w:p>
      <w:r>
        <w:t>D ie Verfahrenskosten gemäss Art. 69 Abs. 1 bis IVG sind ermessensweise auf Fr.</w:t>
      </w:r>
    </w:p>
    <w:p>
      <w:r>
        <w:t>500.-- festzusetzen und ausgangsgemäss der Beschwerdegegnerin aufzuerle gen. 5.2</w:t>
      </w:r>
    </w:p>
    <w:p>
      <w:r>
        <w:t>Praxisgemäss wird die Rückweisung einem Obsiegen gleichgestellt, womit de m anwaltlich vertretenen Beschwerdeführer eine Prozessentschädigung zusteht, die bei m praxisgemässen Ansatz von Fr. 200.-- pro Stunde (zuzüglich Mehrwert steuer) ermessensweise auf F r. 1‘900.-- (inkl. Barauslagen und Mehrwertsteuer) festzusetzen ist. Das Gericht erkennt: 1.</w:t>
      </w:r>
    </w:p>
    <w:p>
      <w:r>
        <w:t>Die Beschwerde wird in dem Sinne gutgeheissen, dass die angefochtene n Verfügung en vom 1 2. und 16. August 2013 aufgehoben und die Sache an die Sozialversicherungs anstalt des Kantons Zürich, IV-Stelle, zurückgewiesen wird, damit diese, nach erfolg ter Abklärung im Sinne der Erwägungen, neu verfüge. 2.</w:t>
      </w:r>
    </w:p>
    <w:p>
      <w:r>
        <w:t>Die Gerichtskosten von Fr. 500 .-- werden der Beschwerdegegnerin auferlegt. Rech nung und Einzahlungsschein werden der Kostenpflichtigen nach Eintritt der Rechts kraft zugestellt. 3.</w:t>
      </w:r>
    </w:p>
    <w:p>
      <w:r>
        <w:t>Die Beschwerdegegnerin wird verpflichtet, dem Beschwerdeführer eine Prozessent - schä digung von Fr. 1'900 .-- (inkl. Barauslagen und MWSt) zu bezahlen. 4.</w:t>
      </w:r>
    </w:p>
    <w:p>
      <w:r>
        <w:t>Zustellung gegen Empfangsschein an: - Rechtsanwalt Dr. Daniel Richter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r>
        <w:rPr>
          <w:b/>
        </w:rPr>
        <w:t>E. 9</w:t>
      </w:r>
    </w:p>
    <w:p>
      <w:r>
        <w:t>ist von Prof. Dr. med. Y.___ , Facharzt Neuro logie FMH, Dr. med. Z.___ , Facharzt Psychiatrie und Psycho therapie FMH, Dr. med. A.___ , Fachärztin Physikalische Medizin und Rehabilitation FMH , und Dr. phil. B.___ , Fachpsychologe Neuropsy chologie FSP, C.___ , ein polydisziplinäres Gutachten im Auftrag der SUVA erstellt worden .</w:t>
      </w:r>
    </w:p>
    <w:p>
      <w:r>
        <w:t>Das Gutachten beruht auf einer psychiatrischen (Urk. 6/22/3-16), neurologischen (Urk. 6/22/17-33 = Urk. 6/23/1-17), neuropsy chologischen (Urk. 6/22/38-42) und physikalisch-medizinischen (Urk. 6/22/49-53) Untersuchung des Beschwerdeführers im November 2008 und den zur Ver fügung gestellten Akten.</w:t>
      </w:r>
    </w:p>
    <w:p>
      <w:r>
        <w:t>Die Gutachter nannten folgende Di agnosen (Urk. 6/22/15, Urk. 6/22/41, Urk. 6/22/53): - leichte bis mittelschwere neuropsychologische Störung, hirnorganische Schädigung (ICD-10 F07.2 oder F04) - Halswirbelsäulen</w:t>
      </w:r>
    </w:p>
    <w:p>
      <w:r>
        <w:t>(HWS)-Distorsion</w:t>
      </w:r>
    </w:p>
    <w:p>
      <w:r>
        <w:t>In de r interdisziplinären Zusammenfassung führten die Gutachter aus, es sei aus neu ropsychologischer Sicht fes t zuhalten , dass der Beschwerdeführer im Rahmen des Unfalles vom 14. Januar 2006 eine leichte traumatische Hirnverletzung er litten habe. Aus neurootologischer Sicht werde eine zentrale vestibuläre Funk tionsstörung leich t er Ausprägung beschrieben sowie eine diskrete Hörstörung mit gut kompensiertem Tinnitus. Aus neuropsychologischer Sicht hätten sich mittelgradige Einschränkungen der verbalen Behaltensleistungen (freier Abruf, Wiedererkennungsleistungen) sowie der Aufmerksamkeitsbelastung gezeigt. Leichte Einbussen (Interferenzunterdrückung, intellektuelle Flexibilität) seien auch bei einzelnen Exekuti vfunktionen festgestellt worden . Die hohe Spezifität des Ausfallmusters im Bereich der Mnestik spreche klinisch für eine hirnorga nische Schädigung, wobei die Störung als leicht bis mittelschwer zu beurteilen sei. Aus physikalisch-medizinischer Sicht habe der Beschwerdeführer beim Un fall eine HWS-Distorsion erlitten. Es würden weiterhin belastungsabhängige Schmerzen, für die sich aktuell kein strukturelle s Korrelat finden lasse, persis tieren (Urk. 6/22/34). Aus psychiatrischer Sicht bestünden keine Anhaltspunkte für eine depressive Verstimmung oder eine psychotraumatologische Störung (Urk. 6/22/35). Infolge der Unfallfolgen sei der Beschwerdeführer in seiner Ar beitsfähigkeit im Beruf des Garagisten und auf dem allgemeinen Arbeitsmarkt leistungsvermindert, wobei im angestammten Beruf als Garagist eine Arbeits unfähigkeit von 70 % bestehe. Auf dem allgemeinen Arbeitsmarkt seien körper lich leicht bis mittelschwere Tätigkeiten und kognitiv leichte Tätigkeiten (zum Beispiel einfache manuelle Tätigkeiten) zumutbar, wobei von einer Leistungs minderung von etwa 20 % auszugehen sei (Urk. 6/22/36).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