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IV.2013.00736 vom 10. Dezember 2014</w:t>
      </w:r>
    </w:p>
    <w:p>
      <w:r>
        <w:t>ZH Sozialversicherungsgericht, 2014-12-10, DE</w:t>
      </w:r>
    </w:p>
    <w:p>
      <w:r>
        <w:rPr>
          <w:b/>
        </w:rPr>
        <w:t xml:space="preserve">Quelle: </w:t>
      </w:r>
      <w:r>
        <w:t>https://mcp.opencaselaw.ch/entscheid/zh_sozialversicherungsgericht_IV.2013.00736</w:t>
      </w:r>
    </w:p>
    <w:p>
      <w:r>
        <w:t>FR: ZH_SOZIALVERSICHERUNGSGERICHT IV.2013.00736 du 10 décembre 2014</w:t>
      </w:r>
    </w:p>
    <w:p>
      <w:r>
        <w:t>IT: ZH_SOZIALVERSICHERUNGSGERICHT IV.2013.00736 del 10 dicembre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X.___ , geboren 1966, reiste im Jahr 1989 aus Kroatien in die Schweiz ein ( Urk. 7/9/1). Seit 1989</w:t>
      </w:r>
    </w:p>
    <w:p>
      <w:r>
        <w:t>war er für die Firma Y.___ als Hilfs schreiner und Chauffeur tätig ( Urk. 7/9/5). Am 2 4. Mai 2011 meldete er sich unter Hinweis auf seit 2004 bestehende Rückenschmerzen ( Urk. 7/9/5) bei der Sozialversicherungsanstalt des Kantons Zürich, IV-Stelle, zum Leistungsbezug an ( Urk. 7/9,</w:t>
      </w:r>
    </w:p>
    <w:p>
      <w:r>
        <w:t>7/12). Die IV-Stelle tätigte Abklärungen in beruflich-erwerb licher ( Urk. 7/13 , Urk. 7/58, Urk. 7/75 ) und medizinischer Hinsicht ( Urk. 7/16 , Urk.</w:t>
      </w:r>
    </w:p>
    <w:p>
      <w:r>
        <w:t>7/20 ) , wobei sie insbesondere die Akten der Krankentaggeldversicherung ( Urk. 7/17 , Urk. 7/41, Urk. 7/43-44 , Urk. 7/49 ) be i zog und die berufliche Abklä rung in der Zentrums Z.___ vom 22. August bis 16. September 2011 (Urk.</w:t>
      </w:r>
    </w:p>
    <w:p>
      <w:r>
        <w:t>7/34) veranlasste .</w:t>
      </w:r>
    </w:p>
    <w:p>
      <w:r>
        <w:t>Mit Vorbescheid vom 6. Juni 2012 stellte die IV-Stelle X.___ die Ab wei sung des Leistungsbegehrens in Aussicht (Urk.</w:t>
      </w:r>
    </w:p>
    <w:p>
      <w:r>
        <w:t>7/56). Dagegen erhob der Ver si cherte am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